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07C6DE">
      <w:pPr>
        <w:ind w:left="40" w:firstLine="800"/>
        <w:jc w:val="center"/>
        <w:textAlignment w:val="center"/>
        <w:rPr>
          <w:rFonts w:eastAsia="黑体"/>
          <w:sz w:val="40"/>
          <w:szCs w:val="40"/>
          <w:lang w:bidi="ar"/>
        </w:rPr>
      </w:pPr>
      <w:bookmarkStart w:id="0" w:name="_Toc16559"/>
      <w:bookmarkStart w:id="1" w:name="_Toc11607"/>
      <w:r>
        <w:rPr>
          <w:rFonts w:eastAsia="黑体"/>
          <w:sz w:val="40"/>
          <w:szCs w:val="40"/>
          <w:lang w:bidi="ar"/>
        </w:rPr>
        <w:t>河北宁强钢构集团有限公司</w:t>
      </w:r>
    </w:p>
    <w:p w14:paraId="52652729">
      <w:pPr>
        <w:ind w:firstLine="800"/>
        <w:textAlignment w:val="center"/>
        <w:rPr>
          <w:rFonts w:eastAsia="黑体"/>
          <w:sz w:val="40"/>
          <w:szCs w:val="40"/>
          <w:lang w:bidi="ar"/>
        </w:rPr>
      </w:pPr>
      <w:bookmarkStart w:id="2" w:name="_Toc16160"/>
      <w:bookmarkStart w:id="3" w:name="_Toc28023"/>
      <w:bookmarkStart w:id="4" w:name="_Toc27056"/>
      <w:bookmarkStart w:id="5" w:name="_Toc1781"/>
      <w:bookmarkStart w:id="6" w:name="_Toc20268"/>
      <w:bookmarkStart w:id="7" w:name="_Toc10218"/>
      <w:bookmarkStart w:id="8" w:name="_Toc24005"/>
      <w:bookmarkStart w:id="9" w:name="_Toc25833"/>
      <w:bookmarkStart w:id="10" w:name="_Toc2058"/>
      <w:r>
        <w:rPr>
          <w:rFonts w:eastAsia="黑体"/>
          <w:sz w:val="40"/>
          <w:szCs w:val="40"/>
          <w:lang w:bidi="ar"/>
        </w:rPr>
        <w:t>202</w:t>
      </w:r>
      <w:r>
        <w:rPr>
          <w:rFonts w:hint="eastAsia" w:eastAsia="黑体"/>
          <w:sz w:val="40"/>
          <w:szCs w:val="40"/>
          <w:lang w:val="en-US" w:eastAsia="zh-CN" w:bidi="ar"/>
        </w:rPr>
        <w:t>5</w:t>
      </w:r>
      <w:r>
        <w:rPr>
          <w:rFonts w:eastAsia="黑体"/>
          <w:sz w:val="40"/>
          <w:szCs w:val="40"/>
          <w:lang w:bidi="ar"/>
        </w:rPr>
        <w:t>年环境、社会及公司治理（ESG）报告</w:t>
      </w:r>
      <w:bookmarkEnd w:id="0"/>
      <w:bookmarkEnd w:id="1"/>
      <w:bookmarkEnd w:id="2"/>
      <w:bookmarkEnd w:id="3"/>
      <w:bookmarkEnd w:id="4"/>
      <w:bookmarkEnd w:id="5"/>
      <w:bookmarkEnd w:id="6"/>
      <w:bookmarkEnd w:id="7"/>
      <w:bookmarkEnd w:id="8"/>
      <w:bookmarkEnd w:id="9"/>
      <w:bookmarkEnd w:id="10"/>
    </w:p>
    <w:p w14:paraId="0D9C3B1F"/>
    <w:p w14:paraId="3D94C4F7">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fmt="upperRoman"/>
          <w:cols w:space="425" w:num="1"/>
          <w:vAlign w:val="center"/>
          <w:docGrid w:type="lines" w:linePitch="312" w:charSpace="0"/>
        </w:sectPr>
      </w:pPr>
      <w:bookmarkStart w:id="11" w:name="_Toc5001"/>
      <w:bookmarkStart w:id="12" w:name="_Toc11797"/>
      <w:bookmarkStart w:id="13" w:name="_Toc23933"/>
      <w:bookmarkStart w:id="14" w:name="_Toc7499"/>
      <w:bookmarkStart w:id="15" w:name="_Toc22832"/>
    </w:p>
    <w:sdt>
      <w:sdtPr>
        <w:rPr>
          <w:rFonts w:ascii="Times New Roman" w:hAnsi="Times New Roman" w:cs="Times New Roman" w:eastAsiaTheme="minorEastAsia"/>
          <w:color w:val="auto"/>
          <w:kern w:val="2"/>
          <w:sz w:val="21"/>
          <w:szCs w:val="21"/>
          <w:lang w:val="zh-CN"/>
        </w:rPr>
        <w:id w:val="-431973492"/>
        <w:docPartObj>
          <w:docPartGallery w:val="Table of Contents"/>
          <w:docPartUnique/>
        </w:docPartObj>
      </w:sdtPr>
      <w:sdtEndPr>
        <w:rPr>
          <w:rFonts w:ascii="Times New Roman" w:hAnsi="Times New Roman" w:cs="Times New Roman" w:eastAsiaTheme="minorEastAsia"/>
          <w:b/>
          <w:bCs/>
          <w:color w:val="auto"/>
          <w:kern w:val="2"/>
          <w:sz w:val="21"/>
          <w:szCs w:val="21"/>
          <w:lang w:val="zh-CN"/>
        </w:rPr>
      </w:sdtEndPr>
      <w:sdtContent>
        <w:p w14:paraId="4B149011">
          <w:pPr>
            <w:pStyle w:val="33"/>
            <w:spacing w:line="240" w:lineRule="auto"/>
            <w:ind w:firstLine="643"/>
            <w:jc w:val="center"/>
            <w:rPr>
              <w:rFonts w:ascii="Times New Roman" w:hAnsi="Times New Roman" w:cs="Times New Roman"/>
              <w:b/>
              <w:bCs/>
              <w:color w:val="auto"/>
              <w:sz w:val="28"/>
              <w:szCs w:val="28"/>
            </w:rPr>
          </w:pPr>
          <w:r>
            <w:rPr>
              <w:rFonts w:ascii="Times New Roman" w:hAnsi="Times New Roman" w:cs="Times New Roman"/>
              <w:b/>
              <w:bCs/>
              <w:color w:val="auto"/>
              <w:sz w:val="28"/>
              <w:szCs w:val="28"/>
              <w:lang w:val="zh-CN"/>
            </w:rPr>
            <w:t>目录</w:t>
          </w:r>
        </w:p>
        <w:p w14:paraId="7F6A06A1">
          <w:pPr>
            <w:pStyle w:val="18"/>
            <w:tabs>
              <w:tab w:val="right" w:leader="dot" w:pos="8296"/>
            </w:tabs>
            <w:rPr>
              <w:rFonts w:ascii="Times New Roman" w:hAnsi="Times New Roman" w:cs="Times New Roman" w:eastAsiaTheme="minorEastAsia"/>
              <w:b w:val="0"/>
              <w:bCs w:val="0"/>
              <w:sz w:val="16"/>
              <w:szCs w:val="18"/>
              <w14:ligatures w14:val="standardContextual"/>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TOC \o "1-3" \h \z \u </w:instrText>
          </w:r>
          <w:r>
            <w:rPr>
              <w:rFonts w:ascii="Times New Roman" w:hAnsi="Times New Roman" w:cs="Times New Roman"/>
              <w:sz w:val="18"/>
              <w:szCs w:val="18"/>
            </w:rPr>
            <w:fldChar w:fldCharType="separate"/>
          </w:r>
          <w:r>
            <w:fldChar w:fldCharType="begin"/>
          </w:r>
          <w:r>
            <w:instrText xml:space="preserve"> HYPERLINK \l "_Toc185361999" </w:instrText>
          </w:r>
          <w:r>
            <w:fldChar w:fldCharType="separate"/>
          </w:r>
          <w:r>
            <w:rPr>
              <w:rStyle w:val="26"/>
              <w:rFonts w:ascii="Times New Roman" w:hAnsi="Times New Roman" w:cs="Times New Roman"/>
              <w:sz w:val="22"/>
              <w:szCs w:val="22"/>
            </w:rPr>
            <w:t>关于本报告</w:t>
          </w:r>
          <w:r>
            <w:rPr>
              <w:rFonts w:ascii="Times New Roman" w:hAnsi="Times New Roman" w:cs="Times New Roman"/>
              <w:sz w:val="22"/>
              <w:szCs w:val="22"/>
            </w:rPr>
            <w:tab/>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PAGEREF _Toc185361999 \h </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r>
            <w:rPr>
              <w:rFonts w:ascii="Times New Roman" w:hAnsi="Times New Roman" w:cs="Times New Roman"/>
              <w:sz w:val="22"/>
              <w:szCs w:val="22"/>
            </w:rPr>
            <w:fldChar w:fldCharType="end"/>
          </w:r>
        </w:p>
        <w:p w14:paraId="218D4062">
          <w:pPr>
            <w:pStyle w:val="20"/>
            <w:spacing w:line="240" w:lineRule="auto"/>
            <w:rPr>
              <w:sz w:val="16"/>
              <w:szCs w:val="18"/>
              <w14:ligatures w14:val="standardContextual"/>
            </w:rPr>
          </w:pPr>
          <w:r>
            <w:fldChar w:fldCharType="begin"/>
          </w:r>
          <w:r>
            <w:instrText xml:space="preserve"> HYPERLINK \l "_Toc185362000" </w:instrText>
          </w:r>
          <w:r>
            <w:fldChar w:fldCharType="separate"/>
          </w:r>
          <w:r>
            <w:rPr>
              <w:rStyle w:val="26"/>
              <w:sz w:val="21"/>
              <w:szCs w:val="21"/>
            </w:rPr>
            <w:t>（一）时间范围</w:t>
          </w:r>
          <w:r>
            <w:rPr>
              <w:sz w:val="21"/>
              <w:szCs w:val="21"/>
            </w:rPr>
            <w:tab/>
          </w:r>
          <w:r>
            <w:rPr>
              <w:sz w:val="21"/>
              <w:szCs w:val="21"/>
            </w:rPr>
            <w:fldChar w:fldCharType="begin"/>
          </w:r>
          <w:r>
            <w:rPr>
              <w:sz w:val="21"/>
              <w:szCs w:val="21"/>
            </w:rPr>
            <w:instrText xml:space="preserve"> PAGEREF _Toc185362000 \h </w:instrText>
          </w:r>
          <w:r>
            <w:rPr>
              <w:sz w:val="21"/>
              <w:szCs w:val="21"/>
            </w:rPr>
            <w:fldChar w:fldCharType="separate"/>
          </w:r>
          <w:r>
            <w:rPr>
              <w:sz w:val="21"/>
              <w:szCs w:val="21"/>
            </w:rPr>
            <w:t>1</w:t>
          </w:r>
          <w:r>
            <w:rPr>
              <w:sz w:val="21"/>
              <w:szCs w:val="21"/>
            </w:rPr>
            <w:fldChar w:fldCharType="end"/>
          </w:r>
          <w:r>
            <w:rPr>
              <w:sz w:val="21"/>
              <w:szCs w:val="21"/>
            </w:rPr>
            <w:fldChar w:fldCharType="end"/>
          </w:r>
        </w:p>
        <w:p w14:paraId="42EBA6AD">
          <w:pPr>
            <w:pStyle w:val="20"/>
            <w:spacing w:line="240" w:lineRule="auto"/>
            <w:rPr>
              <w:sz w:val="16"/>
              <w:szCs w:val="18"/>
              <w14:ligatures w14:val="standardContextual"/>
            </w:rPr>
          </w:pPr>
          <w:r>
            <w:fldChar w:fldCharType="begin"/>
          </w:r>
          <w:r>
            <w:instrText xml:space="preserve"> HYPERLINK \l "_Toc185362001" </w:instrText>
          </w:r>
          <w:r>
            <w:fldChar w:fldCharType="separate"/>
          </w:r>
          <w:r>
            <w:rPr>
              <w:rStyle w:val="26"/>
              <w:sz w:val="21"/>
              <w:szCs w:val="21"/>
            </w:rPr>
            <w:t>（二）参考标准</w:t>
          </w:r>
          <w:r>
            <w:rPr>
              <w:sz w:val="21"/>
              <w:szCs w:val="21"/>
            </w:rPr>
            <w:tab/>
          </w:r>
          <w:r>
            <w:rPr>
              <w:sz w:val="21"/>
              <w:szCs w:val="21"/>
            </w:rPr>
            <w:fldChar w:fldCharType="begin"/>
          </w:r>
          <w:r>
            <w:rPr>
              <w:sz w:val="21"/>
              <w:szCs w:val="21"/>
            </w:rPr>
            <w:instrText xml:space="preserve"> PAGEREF _Toc185362001 \h </w:instrText>
          </w:r>
          <w:r>
            <w:rPr>
              <w:sz w:val="21"/>
              <w:szCs w:val="21"/>
            </w:rPr>
            <w:fldChar w:fldCharType="separate"/>
          </w:r>
          <w:r>
            <w:rPr>
              <w:sz w:val="21"/>
              <w:szCs w:val="21"/>
            </w:rPr>
            <w:t>1</w:t>
          </w:r>
          <w:r>
            <w:rPr>
              <w:sz w:val="21"/>
              <w:szCs w:val="21"/>
            </w:rPr>
            <w:fldChar w:fldCharType="end"/>
          </w:r>
          <w:r>
            <w:rPr>
              <w:sz w:val="21"/>
              <w:szCs w:val="21"/>
            </w:rPr>
            <w:fldChar w:fldCharType="end"/>
          </w:r>
        </w:p>
        <w:p w14:paraId="656601BA">
          <w:pPr>
            <w:pStyle w:val="20"/>
            <w:spacing w:line="240" w:lineRule="auto"/>
            <w:rPr>
              <w:sz w:val="16"/>
              <w:szCs w:val="18"/>
              <w14:ligatures w14:val="standardContextual"/>
            </w:rPr>
          </w:pPr>
          <w:r>
            <w:fldChar w:fldCharType="begin"/>
          </w:r>
          <w:r>
            <w:instrText xml:space="preserve"> HYPERLINK \l "_Toc185362002" </w:instrText>
          </w:r>
          <w:r>
            <w:fldChar w:fldCharType="separate"/>
          </w:r>
          <w:r>
            <w:rPr>
              <w:rStyle w:val="26"/>
              <w:sz w:val="21"/>
              <w:szCs w:val="21"/>
            </w:rPr>
            <w:t>（三）报告范围</w:t>
          </w:r>
          <w:r>
            <w:rPr>
              <w:sz w:val="21"/>
              <w:szCs w:val="21"/>
            </w:rPr>
            <w:tab/>
          </w:r>
          <w:r>
            <w:rPr>
              <w:sz w:val="21"/>
              <w:szCs w:val="21"/>
            </w:rPr>
            <w:fldChar w:fldCharType="begin"/>
          </w:r>
          <w:r>
            <w:rPr>
              <w:sz w:val="21"/>
              <w:szCs w:val="21"/>
            </w:rPr>
            <w:instrText xml:space="preserve"> PAGEREF _Toc185362002 \h </w:instrText>
          </w:r>
          <w:r>
            <w:rPr>
              <w:sz w:val="21"/>
              <w:szCs w:val="21"/>
            </w:rPr>
            <w:fldChar w:fldCharType="separate"/>
          </w:r>
          <w:r>
            <w:rPr>
              <w:sz w:val="21"/>
              <w:szCs w:val="21"/>
            </w:rPr>
            <w:t>1</w:t>
          </w:r>
          <w:r>
            <w:rPr>
              <w:sz w:val="21"/>
              <w:szCs w:val="21"/>
            </w:rPr>
            <w:fldChar w:fldCharType="end"/>
          </w:r>
          <w:r>
            <w:rPr>
              <w:sz w:val="21"/>
              <w:szCs w:val="21"/>
            </w:rPr>
            <w:fldChar w:fldCharType="end"/>
          </w:r>
        </w:p>
        <w:p w14:paraId="155D3655">
          <w:pPr>
            <w:pStyle w:val="20"/>
            <w:spacing w:line="240" w:lineRule="auto"/>
            <w:rPr>
              <w:sz w:val="16"/>
              <w:szCs w:val="18"/>
              <w14:ligatures w14:val="standardContextual"/>
            </w:rPr>
          </w:pPr>
          <w:r>
            <w:fldChar w:fldCharType="begin"/>
          </w:r>
          <w:r>
            <w:instrText xml:space="preserve"> HYPERLINK \l "_Toc185362003" </w:instrText>
          </w:r>
          <w:r>
            <w:fldChar w:fldCharType="separate"/>
          </w:r>
          <w:r>
            <w:rPr>
              <w:rStyle w:val="26"/>
              <w:sz w:val="21"/>
              <w:szCs w:val="21"/>
            </w:rPr>
            <w:t>（四）信息来源</w:t>
          </w:r>
          <w:r>
            <w:rPr>
              <w:sz w:val="21"/>
              <w:szCs w:val="21"/>
            </w:rPr>
            <w:tab/>
          </w:r>
          <w:r>
            <w:rPr>
              <w:sz w:val="21"/>
              <w:szCs w:val="21"/>
            </w:rPr>
            <w:fldChar w:fldCharType="begin"/>
          </w:r>
          <w:r>
            <w:rPr>
              <w:sz w:val="21"/>
              <w:szCs w:val="21"/>
            </w:rPr>
            <w:instrText xml:space="preserve"> PAGEREF _Toc185362003 \h </w:instrText>
          </w:r>
          <w:r>
            <w:rPr>
              <w:sz w:val="21"/>
              <w:szCs w:val="21"/>
            </w:rPr>
            <w:fldChar w:fldCharType="separate"/>
          </w:r>
          <w:r>
            <w:rPr>
              <w:sz w:val="21"/>
              <w:szCs w:val="21"/>
            </w:rPr>
            <w:t>1</w:t>
          </w:r>
          <w:r>
            <w:rPr>
              <w:sz w:val="21"/>
              <w:szCs w:val="21"/>
            </w:rPr>
            <w:fldChar w:fldCharType="end"/>
          </w:r>
          <w:r>
            <w:rPr>
              <w:sz w:val="21"/>
              <w:szCs w:val="21"/>
            </w:rPr>
            <w:fldChar w:fldCharType="end"/>
          </w:r>
        </w:p>
        <w:p w14:paraId="33FA14BA">
          <w:pPr>
            <w:pStyle w:val="20"/>
            <w:spacing w:line="240" w:lineRule="auto"/>
            <w:rPr>
              <w:sz w:val="16"/>
              <w:szCs w:val="18"/>
              <w14:ligatures w14:val="standardContextual"/>
            </w:rPr>
          </w:pPr>
          <w:r>
            <w:fldChar w:fldCharType="begin"/>
          </w:r>
          <w:r>
            <w:instrText xml:space="preserve"> HYPERLINK \l "_Toc185362004" </w:instrText>
          </w:r>
          <w:r>
            <w:fldChar w:fldCharType="separate"/>
          </w:r>
          <w:r>
            <w:rPr>
              <w:rStyle w:val="26"/>
              <w:sz w:val="21"/>
              <w:szCs w:val="21"/>
            </w:rPr>
            <w:t>（五）称谓说明</w:t>
          </w:r>
          <w:r>
            <w:rPr>
              <w:sz w:val="21"/>
              <w:szCs w:val="21"/>
            </w:rPr>
            <w:tab/>
          </w:r>
          <w:r>
            <w:rPr>
              <w:sz w:val="21"/>
              <w:szCs w:val="21"/>
            </w:rPr>
            <w:fldChar w:fldCharType="begin"/>
          </w:r>
          <w:r>
            <w:rPr>
              <w:sz w:val="21"/>
              <w:szCs w:val="21"/>
            </w:rPr>
            <w:instrText xml:space="preserve"> PAGEREF _Toc185362004 \h </w:instrText>
          </w:r>
          <w:r>
            <w:rPr>
              <w:sz w:val="21"/>
              <w:szCs w:val="21"/>
            </w:rPr>
            <w:fldChar w:fldCharType="separate"/>
          </w:r>
          <w:r>
            <w:rPr>
              <w:sz w:val="21"/>
              <w:szCs w:val="21"/>
            </w:rPr>
            <w:t>2</w:t>
          </w:r>
          <w:r>
            <w:rPr>
              <w:sz w:val="21"/>
              <w:szCs w:val="21"/>
            </w:rPr>
            <w:fldChar w:fldCharType="end"/>
          </w:r>
          <w:r>
            <w:rPr>
              <w:sz w:val="21"/>
              <w:szCs w:val="21"/>
            </w:rPr>
            <w:fldChar w:fldCharType="end"/>
          </w:r>
        </w:p>
        <w:p w14:paraId="1BF9DFBE">
          <w:pPr>
            <w:pStyle w:val="20"/>
            <w:spacing w:line="240" w:lineRule="auto"/>
            <w:rPr>
              <w:sz w:val="16"/>
              <w:szCs w:val="18"/>
              <w14:ligatures w14:val="standardContextual"/>
            </w:rPr>
          </w:pPr>
          <w:r>
            <w:fldChar w:fldCharType="begin"/>
          </w:r>
          <w:r>
            <w:instrText xml:space="preserve"> HYPERLINK \l "_Toc185362005" </w:instrText>
          </w:r>
          <w:r>
            <w:fldChar w:fldCharType="separate"/>
          </w:r>
          <w:r>
            <w:rPr>
              <w:rStyle w:val="26"/>
              <w:sz w:val="21"/>
              <w:szCs w:val="21"/>
            </w:rPr>
            <w:t>（六）联系方式</w:t>
          </w:r>
          <w:r>
            <w:rPr>
              <w:sz w:val="21"/>
              <w:szCs w:val="21"/>
            </w:rPr>
            <w:tab/>
          </w:r>
          <w:r>
            <w:rPr>
              <w:sz w:val="21"/>
              <w:szCs w:val="21"/>
            </w:rPr>
            <w:fldChar w:fldCharType="begin"/>
          </w:r>
          <w:r>
            <w:rPr>
              <w:sz w:val="21"/>
              <w:szCs w:val="21"/>
            </w:rPr>
            <w:instrText xml:space="preserve"> PAGEREF _Toc185362005 \h </w:instrText>
          </w:r>
          <w:r>
            <w:rPr>
              <w:sz w:val="21"/>
              <w:szCs w:val="21"/>
            </w:rPr>
            <w:fldChar w:fldCharType="separate"/>
          </w:r>
          <w:r>
            <w:rPr>
              <w:sz w:val="21"/>
              <w:szCs w:val="21"/>
            </w:rPr>
            <w:t>2</w:t>
          </w:r>
          <w:r>
            <w:rPr>
              <w:sz w:val="21"/>
              <w:szCs w:val="21"/>
            </w:rPr>
            <w:fldChar w:fldCharType="end"/>
          </w:r>
          <w:r>
            <w:rPr>
              <w:sz w:val="21"/>
              <w:szCs w:val="21"/>
            </w:rPr>
            <w:fldChar w:fldCharType="end"/>
          </w:r>
        </w:p>
        <w:p w14:paraId="5C092A07">
          <w:pPr>
            <w:pStyle w:val="18"/>
            <w:tabs>
              <w:tab w:val="right" w:leader="dot" w:pos="8296"/>
            </w:tabs>
            <w:rPr>
              <w:rFonts w:ascii="Times New Roman" w:hAnsi="Times New Roman" w:cs="Times New Roman" w:eastAsiaTheme="minorEastAsia"/>
              <w:b w:val="0"/>
              <w:bCs w:val="0"/>
              <w:sz w:val="16"/>
              <w:szCs w:val="18"/>
              <w14:ligatures w14:val="standardContextual"/>
            </w:rPr>
          </w:pPr>
          <w:r>
            <w:fldChar w:fldCharType="begin"/>
          </w:r>
          <w:r>
            <w:instrText xml:space="preserve"> HYPERLINK \l "_Toc185362006" </w:instrText>
          </w:r>
          <w:r>
            <w:fldChar w:fldCharType="separate"/>
          </w:r>
          <w:r>
            <w:rPr>
              <w:rStyle w:val="26"/>
              <w:rFonts w:ascii="Times New Roman" w:hAnsi="Times New Roman" w:cs="Times New Roman"/>
              <w:sz w:val="22"/>
              <w:szCs w:val="22"/>
            </w:rPr>
            <w:t>关于河北宁强</w:t>
          </w:r>
          <w:r>
            <w:rPr>
              <w:rFonts w:ascii="Times New Roman" w:hAnsi="Times New Roman" w:cs="Times New Roman"/>
              <w:sz w:val="22"/>
              <w:szCs w:val="22"/>
            </w:rPr>
            <w:tab/>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PAGEREF _Toc185362006 \h </w:instrText>
          </w:r>
          <w:r>
            <w:rPr>
              <w:rFonts w:ascii="Times New Roman" w:hAnsi="Times New Roman" w:cs="Times New Roman"/>
              <w:sz w:val="22"/>
              <w:szCs w:val="22"/>
            </w:rPr>
            <w:fldChar w:fldCharType="separate"/>
          </w:r>
          <w:r>
            <w:rPr>
              <w:rFonts w:ascii="Times New Roman" w:hAnsi="Times New Roman" w:cs="Times New Roman"/>
              <w:sz w:val="22"/>
              <w:szCs w:val="22"/>
            </w:rPr>
            <w:t>3</w:t>
          </w:r>
          <w:r>
            <w:rPr>
              <w:rFonts w:ascii="Times New Roman" w:hAnsi="Times New Roman" w:cs="Times New Roman"/>
              <w:sz w:val="22"/>
              <w:szCs w:val="22"/>
            </w:rPr>
            <w:fldChar w:fldCharType="end"/>
          </w:r>
          <w:r>
            <w:rPr>
              <w:rFonts w:ascii="Times New Roman" w:hAnsi="Times New Roman" w:cs="Times New Roman"/>
              <w:sz w:val="22"/>
              <w:szCs w:val="22"/>
            </w:rPr>
            <w:fldChar w:fldCharType="end"/>
          </w:r>
        </w:p>
        <w:p w14:paraId="669E3C9C">
          <w:pPr>
            <w:pStyle w:val="18"/>
            <w:tabs>
              <w:tab w:val="right" w:leader="dot" w:pos="8296"/>
            </w:tabs>
            <w:rPr>
              <w:rFonts w:ascii="Times New Roman" w:hAnsi="Times New Roman" w:cs="Times New Roman" w:eastAsiaTheme="minorEastAsia"/>
              <w:b w:val="0"/>
              <w:bCs w:val="0"/>
              <w:sz w:val="16"/>
              <w:szCs w:val="18"/>
              <w14:ligatures w14:val="standardContextual"/>
            </w:rPr>
          </w:pPr>
          <w:r>
            <w:fldChar w:fldCharType="begin"/>
          </w:r>
          <w:r>
            <w:instrText xml:space="preserve"> HYPERLINK \l "_Toc185362007" </w:instrText>
          </w:r>
          <w:r>
            <w:fldChar w:fldCharType="separate"/>
          </w:r>
          <w:r>
            <w:rPr>
              <w:rStyle w:val="26"/>
              <w:rFonts w:ascii="Times New Roman" w:hAnsi="Times New Roman" w:cs="Times New Roman"/>
              <w:sz w:val="22"/>
              <w:szCs w:val="22"/>
            </w:rPr>
            <w:t>环境篇：低碳环保 守护生态之叶</w:t>
          </w:r>
          <w:r>
            <w:rPr>
              <w:rFonts w:ascii="Times New Roman" w:hAnsi="Times New Roman" w:cs="Times New Roman"/>
              <w:sz w:val="22"/>
              <w:szCs w:val="22"/>
            </w:rPr>
            <w:tab/>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PAGEREF _Toc185362007 \h </w:instrText>
          </w:r>
          <w:r>
            <w:rPr>
              <w:rFonts w:ascii="Times New Roman" w:hAnsi="Times New Roman" w:cs="Times New Roman"/>
              <w:sz w:val="22"/>
              <w:szCs w:val="22"/>
            </w:rPr>
            <w:fldChar w:fldCharType="separate"/>
          </w:r>
          <w:r>
            <w:rPr>
              <w:rFonts w:ascii="Times New Roman" w:hAnsi="Times New Roman" w:cs="Times New Roman"/>
              <w:sz w:val="22"/>
              <w:szCs w:val="22"/>
            </w:rPr>
            <w:t>5</w:t>
          </w:r>
          <w:r>
            <w:rPr>
              <w:rFonts w:ascii="Times New Roman" w:hAnsi="Times New Roman" w:cs="Times New Roman"/>
              <w:sz w:val="22"/>
              <w:szCs w:val="22"/>
            </w:rPr>
            <w:fldChar w:fldCharType="end"/>
          </w:r>
          <w:r>
            <w:rPr>
              <w:rFonts w:ascii="Times New Roman" w:hAnsi="Times New Roman" w:cs="Times New Roman"/>
              <w:sz w:val="22"/>
              <w:szCs w:val="22"/>
            </w:rPr>
            <w:fldChar w:fldCharType="end"/>
          </w:r>
        </w:p>
        <w:p w14:paraId="5F88265B">
          <w:pPr>
            <w:pStyle w:val="20"/>
            <w:spacing w:line="240" w:lineRule="auto"/>
            <w:rPr>
              <w:sz w:val="16"/>
              <w:szCs w:val="18"/>
              <w14:ligatures w14:val="standardContextual"/>
            </w:rPr>
          </w:pPr>
          <w:r>
            <w:fldChar w:fldCharType="begin"/>
          </w:r>
          <w:r>
            <w:instrText xml:space="preserve"> HYPERLINK \l "_Toc185362008" </w:instrText>
          </w:r>
          <w:r>
            <w:fldChar w:fldCharType="separate"/>
          </w:r>
          <w:r>
            <w:rPr>
              <w:rStyle w:val="26"/>
              <w:sz w:val="21"/>
              <w:szCs w:val="21"/>
            </w:rPr>
            <w:t>（一）环境管理体系</w:t>
          </w:r>
          <w:r>
            <w:rPr>
              <w:sz w:val="21"/>
              <w:szCs w:val="21"/>
            </w:rPr>
            <w:tab/>
          </w:r>
          <w:r>
            <w:rPr>
              <w:sz w:val="21"/>
              <w:szCs w:val="21"/>
            </w:rPr>
            <w:fldChar w:fldCharType="begin"/>
          </w:r>
          <w:r>
            <w:rPr>
              <w:sz w:val="21"/>
              <w:szCs w:val="21"/>
            </w:rPr>
            <w:instrText xml:space="preserve"> PAGEREF _Toc185362008 \h </w:instrText>
          </w:r>
          <w:r>
            <w:rPr>
              <w:sz w:val="21"/>
              <w:szCs w:val="21"/>
            </w:rPr>
            <w:fldChar w:fldCharType="separate"/>
          </w:r>
          <w:r>
            <w:rPr>
              <w:sz w:val="21"/>
              <w:szCs w:val="21"/>
            </w:rPr>
            <w:t>5</w:t>
          </w:r>
          <w:r>
            <w:rPr>
              <w:sz w:val="21"/>
              <w:szCs w:val="21"/>
            </w:rPr>
            <w:fldChar w:fldCharType="end"/>
          </w:r>
          <w:r>
            <w:rPr>
              <w:sz w:val="21"/>
              <w:szCs w:val="21"/>
            </w:rPr>
            <w:fldChar w:fldCharType="end"/>
          </w:r>
        </w:p>
        <w:p w14:paraId="05344A4D">
          <w:pPr>
            <w:pStyle w:val="20"/>
            <w:spacing w:line="240" w:lineRule="auto"/>
            <w:rPr>
              <w:sz w:val="16"/>
              <w:szCs w:val="18"/>
              <w14:ligatures w14:val="standardContextual"/>
            </w:rPr>
          </w:pPr>
          <w:r>
            <w:fldChar w:fldCharType="begin"/>
          </w:r>
          <w:r>
            <w:instrText xml:space="preserve"> HYPERLINK \l "_Toc185362009" </w:instrText>
          </w:r>
          <w:r>
            <w:fldChar w:fldCharType="separate"/>
          </w:r>
          <w:r>
            <w:rPr>
              <w:rStyle w:val="26"/>
              <w:sz w:val="21"/>
              <w:szCs w:val="21"/>
            </w:rPr>
            <w:t>（二）能源资源使用</w:t>
          </w:r>
          <w:r>
            <w:rPr>
              <w:sz w:val="21"/>
              <w:szCs w:val="21"/>
            </w:rPr>
            <w:tab/>
          </w:r>
          <w:r>
            <w:rPr>
              <w:sz w:val="21"/>
              <w:szCs w:val="21"/>
            </w:rPr>
            <w:fldChar w:fldCharType="begin"/>
          </w:r>
          <w:r>
            <w:rPr>
              <w:sz w:val="21"/>
              <w:szCs w:val="21"/>
            </w:rPr>
            <w:instrText xml:space="preserve"> PAGEREF _Toc185362009 \h </w:instrText>
          </w:r>
          <w:r>
            <w:rPr>
              <w:sz w:val="21"/>
              <w:szCs w:val="21"/>
            </w:rPr>
            <w:fldChar w:fldCharType="separate"/>
          </w:r>
          <w:r>
            <w:rPr>
              <w:sz w:val="21"/>
              <w:szCs w:val="21"/>
            </w:rPr>
            <w:t>6</w:t>
          </w:r>
          <w:r>
            <w:rPr>
              <w:sz w:val="21"/>
              <w:szCs w:val="21"/>
            </w:rPr>
            <w:fldChar w:fldCharType="end"/>
          </w:r>
          <w:r>
            <w:rPr>
              <w:sz w:val="21"/>
              <w:szCs w:val="21"/>
            </w:rPr>
            <w:fldChar w:fldCharType="end"/>
          </w:r>
        </w:p>
        <w:p w14:paraId="42132C43">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"_Toc185362010" </w:instrText>
          </w:r>
          <w:r>
            <w:fldChar w:fldCharType="separate"/>
          </w:r>
          <w:r>
            <w:rPr>
              <w:rStyle w:val="26"/>
              <w:sz w:val="21"/>
              <w:szCs w:val="21"/>
            </w:rPr>
            <w:t>1.能源管理</w:t>
          </w:r>
          <w:r>
            <w:rPr>
              <w:sz w:val="21"/>
              <w:szCs w:val="21"/>
            </w:rPr>
            <w:tab/>
          </w:r>
          <w:r>
            <w:rPr>
              <w:sz w:val="21"/>
              <w:szCs w:val="21"/>
            </w:rPr>
            <w:fldChar w:fldCharType="begin"/>
          </w:r>
          <w:r>
            <w:rPr>
              <w:sz w:val="21"/>
              <w:szCs w:val="21"/>
            </w:rPr>
            <w:instrText xml:space="preserve"> PAGEREF _Toc185362010 \h </w:instrText>
          </w:r>
          <w:r>
            <w:rPr>
              <w:sz w:val="21"/>
              <w:szCs w:val="21"/>
            </w:rPr>
            <w:fldChar w:fldCharType="separate"/>
          </w:r>
          <w:r>
            <w:rPr>
              <w:sz w:val="21"/>
              <w:szCs w:val="21"/>
            </w:rPr>
            <w:t>6</w:t>
          </w:r>
          <w:r>
            <w:rPr>
              <w:sz w:val="21"/>
              <w:szCs w:val="21"/>
            </w:rPr>
            <w:fldChar w:fldCharType="end"/>
          </w:r>
          <w:r>
            <w:rPr>
              <w:sz w:val="21"/>
              <w:szCs w:val="21"/>
            </w:rPr>
            <w:fldChar w:fldCharType="end"/>
          </w:r>
        </w:p>
        <w:p w14:paraId="7495DA55">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"_Toc185362011" </w:instrText>
          </w:r>
          <w:r>
            <w:fldChar w:fldCharType="separate"/>
          </w:r>
          <w:r>
            <w:rPr>
              <w:rStyle w:val="26"/>
              <w:sz w:val="21"/>
              <w:szCs w:val="21"/>
            </w:rPr>
            <w:t>2.水资源管理</w:t>
          </w:r>
          <w:r>
            <w:rPr>
              <w:sz w:val="21"/>
              <w:szCs w:val="21"/>
            </w:rPr>
            <w:tab/>
          </w:r>
          <w:r>
            <w:rPr>
              <w:sz w:val="21"/>
              <w:szCs w:val="21"/>
            </w:rPr>
            <w:fldChar w:fldCharType="begin"/>
          </w:r>
          <w:r>
            <w:rPr>
              <w:sz w:val="21"/>
              <w:szCs w:val="21"/>
            </w:rPr>
            <w:instrText xml:space="preserve"> PAGEREF _Toc185362011 \h </w:instrText>
          </w:r>
          <w:r>
            <w:rPr>
              <w:sz w:val="21"/>
              <w:szCs w:val="21"/>
            </w:rPr>
            <w:fldChar w:fldCharType="separate"/>
          </w:r>
          <w:r>
            <w:rPr>
              <w:sz w:val="21"/>
              <w:szCs w:val="21"/>
            </w:rPr>
            <w:t>8</w:t>
          </w:r>
          <w:r>
            <w:rPr>
              <w:sz w:val="21"/>
              <w:szCs w:val="21"/>
            </w:rPr>
            <w:fldChar w:fldCharType="end"/>
          </w:r>
          <w:r>
            <w:rPr>
              <w:sz w:val="21"/>
              <w:szCs w:val="21"/>
            </w:rPr>
            <w:fldChar w:fldCharType="end"/>
          </w:r>
        </w:p>
        <w:p w14:paraId="33E5E079">
          <w:pPr>
            <w:pStyle w:val="20"/>
            <w:spacing w:line="240" w:lineRule="auto"/>
            <w:rPr>
              <w:sz w:val="16"/>
              <w:szCs w:val="18"/>
              <w14:ligatures w14:val="standardContextual"/>
            </w:rPr>
          </w:pPr>
          <w:r>
            <w:fldChar w:fldCharType="begin"/>
          </w:r>
          <w:r>
            <w:instrText xml:space="preserve"> HYPERLINK \l "_Toc185362012" </w:instrText>
          </w:r>
          <w:r>
            <w:fldChar w:fldCharType="separate"/>
          </w:r>
          <w:r>
            <w:rPr>
              <w:rStyle w:val="26"/>
              <w:sz w:val="21"/>
              <w:szCs w:val="21"/>
            </w:rPr>
            <w:t>（三）污染排放管理</w:t>
          </w:r>
          <w:r>
            <w:rPr>
              <w:sz w:val="21"/>
              <w:szCs w:val="21"/>
            </w:rPr>
            <w:tab/>
          </w:r>
          <w:r>
            <w:rPr>
              <w:sz w:val="21"/>
              <w:szCs w:val="21"/>
            </w:rPr>
            <w:fldChar w:fldCharType="begin"/>
          </w:r>
          <w:r>
            <w:rPr>
              <w:sz w:val="21"/>
              <w:szCs w:val="21"/>
            </w:rPr>
            <w:instrText xml:space="preserve"> PAGEREF _Toc185362012 \h </w:instrText>
          </w:r>
          <w:r>
            <w:rPr>
              <w:sz w:val="21"/>
              <w:szCs w:val="21"/>
            </w:rPr>
            <w:fldChar w:fldCharType="separate"/>
          </w:r>
          <w:r>
            <w:rPr>
              <w:sz w:val="21"/>
              <w:szCs w:val="21"/>
            </w:rPr>
            <w:t>8</w:t>
          </w:r>
          <w:r>
            <w:rPr>
              <w:sz w:val="21"/>
              <w:szCs w:val="21"/>
            </w:rPr>
            <w:fldChar w:fldCharType="end"/>
          </w:r>
          <w:r>
            <w:rPr>
              <w:sz w:val="21"/>
              <w:szCs w:val="21"/>
            </w:rPr>
            <w:fldChar w:fldCharType="end"/>
          </w:r>
        </w:p>
        <w:p w14:paraId="14E14386">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"_Toc185362013" </w:instrText>
          </w:r>
          <w:r>
            <w:fldChar w:fldCharType="separate"/>
          </w:r>
          <w:r>
            <w:rPr>
              <w:rStyle w:val="26"/>
              <w:sz w:val="21"/>
              <w:szCs w:val="21"/>
            </w:rPr>
            <w:t>1.废气管理</w:t>
          </w:r>
          <w:r>
            <w:rPr>
              <w:sz w:val="21"/>
              <w:szCs w:val="21"/>
            </w:rPr>
            <w:tab/>
          </w:r>
          <w:r>
            <w:rPr>
              <w:sz w:val="21"/>
              <w:szCs w:val="21"/>
            </w:rPr>
            <w:fldChar w:fldCharType="begin"/>
          </w:r>
          <w:r>
            <w:rPr>
              <w:sz w:val="21"/>
              <w:szCs w:val="21"/>
            </w:rPr>
            <w:instrText xml:space="preserve"> PAGEREF _Toc185362013 \h </w:instrText>
          </w:r>
          <w:r>
            <w:rPr>
              <w:sz w:val="21"/>
              <w:szCs w:val="21"/>
            </w:rPr>
            <w:fldChar w:fldCharType="separate"/>
          </w:r>
          <w:r>
            <w:rPr>
              <w:sz w:val="21"/>
              <w:szCs w:val="21"/>
            </w:rPr>
            <w:t>9</w:t>
          </w:r>
          <w:r>
            <w:rPr>
              <w:sz w:val="21"/>
              <w:szCs w:val="21"/>
            </w:rPr>
            <w:fldChar w:fldCharType="end"/>
          </w:r>
          <w:r>
            <w:rPr>
              <w:sz w:val="21"/>
              <w:szCs w:val="21"/>
            </w:rPr>
            <w:fldChar w:fldCharType="end"/>
          </w:r>
        </w:p>
        <w:p w14:paraId="20E81CAF">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"_Toc185362014" </w:instrText>
          </w:r>
          <w:r>
            <w:fldChar w:fldCharType="separate"/>
          </w:r>
          <w:r>
            <w:rPr>
              <w:rStyle w:val="26"/>
              <w:sz w:val="21"/>
              <w:szCs w:val="21"/>
            </w:rPr>
            <w:t>2.噪声管理</w:t>
          </w:r>
          <w:r>
            <w:rPr>
              <w:sz w:val="21"/>
              <w:szCs w:val="21"/>
            </w:rPr>
            <w:tab/>
          </w:r>
          <w:r>
            <w:rPr>
              <w:sz w:val="21"/>
              <w:szCs w:val="21"/>
            </w:rPr>
            <w:fldChar w:fldCharType="begin"/>
          </w:r>
          <w:r>
            <w:rPr>
              <w:sz w:val="21"/>
              <w:szCs w:val="21"/>
            </w:rPr>
            <w:instrText xml:space="preserve"> PAGEREF _Toc185362014 \h </w:instrText>
          </w:r>
          <w:r>
            <w:rPr>
              <w:sz w:val="21"/>
              <w:szCs w:val="21"/>
            </w:rPr>
            <w:fldChar w:fldCharType="separate"/>
          </w:r>
          <w:r>
            <w:rPr>
              <w:sz w:val="21"/>
              <w:szCs w:val="21"/>
            </w:rPr>
            <w:t>9</w:t>
          </w:r>
          <w:r>
            <w:rPr>
              <w:sz w:val="21"/>
              <w:szCs w:val="21"/>
            </w:rPr>
            <w:fldChar w:fldCharType="end"/>
          </w:r>
          <w:r>
            <w:rPr>
              <w:sz w:val="21"/>
              <w:szCs w:val="21"/>
            </w:rPr>
            <w:fldChar w:fldCharType="end"/>
          </w:r>
        </w:p>
        <w:p w14:paraId="03A1377A">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"_Toc185362015" </w:instrText>
          </w:r>
          <w:r>
            <w:fldChar w:fldCharType="separate"/>
          </w:r>
          <w:r>
            <w:rPr>
              <w:rStyle w:val="26"/>
              <w:sz w:val="21"/>
              <w:szCs w:val="21"/>
            </w:rPr>
            <w:t>3.固废管理</w:t>
          </w:r>
          <w:r>
            <w:rPr>
              <w:sz w:val="21"/>
              <w:szCs w:val="21"/>
            </w:rPr>
            <w:tab/>
          </w:r>
          <w:r>
            <w:rPr>
              <w:sz w:val="21"/>
              <w:szCs w:val="21"/>
            </w:rPr>
            <w:fldChar w:fldCharType="begin"/>
          </w:r>
          <w:r>
            <w:rPr>
              <w:sz w:val="21"/>
              <w:szCs w:val="21"/>
            </w:rPr>
            <w:instrText xml:space="preserve"> PAGEREF _Toc185362015 \h </w:instrText>
          </w:r>
          <w:r>
            <w:rPr>
              <w:sz w:val="21"/>
              <w:szCs w:val="21"/>
            </w:rPr>
            <w:fldChar w:fldCharType="separate"/>
          </w:r>
          <w:r>
            <w:rPr>
              <w:sz w:val="21"/>
              <w:szCs w:val="21"/>
            </w:rPr>
            <w:t>10</w:t>
          </w:r>
          <w:r>
            <w:rPr>
              <w:sz w:val="21"/>
              <w:szCs w:val="21"/>
            </w:rPr>
            <w:fldChar w:fldCharType="end"/>
          </w:r>
          <w:r>
            <w:rPr>
              <w:sz w:val="21"/>
              <w:szCs w:val="21"/>
            </w:rPr>
            <w:fldChar w:fldCharType="end"/>
          </w:r>
        </w:p>
        <w:p w14:paraId="5AD9E4E3">
          <w:pPr>
            <w:pStyle w:val="20"/>
            <w:spacing w:line="240" w:lineRule="auto"/>
            <w:rPr>
              <w:sz w:val="16"/>
              <w:szCs w:val="18"/>
              <w14:ligatures w14:val="standardContextual"/>
            </w:rPr>
          </w:pPr>
          <w:r>
            <w:fldChar w:fldCharType="begin"/>
          </w:r>
          <w:r>
            <w:instrText xml:space="preserve"> HYPERLINK \l "_Toc185362016" </w:instrText>
          </w:r>
          <w:r>
            <w:fldChar w:fldCharType="separate"/>
          </w:r>
          <w:r>
            <w:rPr>
              <w:rStyle w:val="26"/>
              <w:sz w:val="21"/>
              <w:szCs w:val="21"/>
            </w:rPr>
            <w:t>（四）打造绿色供应链</w:t>
          </w:r>
          <w:r>
            <w:rPr>
              <w:sz w:val="21"/>
              <w:szCs w:val="21"/>
            </w:rPr>
            <w:tab/>
          </w:r>
          <w:r>
            <w:rPr>
              <w:sz w:val="21"/>
              <w:szCs w:val="21"/>
            </w:rPr>
            <w:fldChar w:fldCharType="begin"/>
          </w:r>
          <w:r>
            <w:rPr>
              <w:sz w:val="21"/>
              <w:szCs w:val="21"/>
            </w:rPr>
            <w:instrText xml:space="preserve"> PAGEREF _Toc185362016 \h </w:instrText>
          </w:r>
          <w:r>
            <w:rPr>
              <w:sz w:val="21"/>
              <w:szCs w:val="21"/>
            </w:rPr>
            <w:fldChar w:fldCharType="separate"/>
          </w:r>
          <w:r>
            <w:rPr>
              <w:sz w:val="21"/>
              <w:szCs w:val="21"/>
            </w:rPr>
            <w:t>11</w:t>
          </w:r>
          <w:r>
            <w:rPr>
              <w:sz w:val="21"/>
              <w:szCs w:val="21"/>
            </w:rPr>
            <w:fldChar w:fldCharType="end"/>
          </w:r>
          <w:r>
            <w:rPr>
              <w:sz w:val="21"/>
              <w:szCs w:val="21"/>
            </w:rPr>
            <w:fldChar w:fldCharType="end"/>
          </w:r>
        </w:p>
        <w:p w14:paraId="742EC0B0">
          <w:pPr>
            <w:pStyle w:val="20"/>
            <w:spacing w:line="240" w:lineRule="auto"/>
            <w:rPr>
              <w:sz w:val="16"/>
              <w:szCs w:val="18"/>
              <w14:ligatures w14:val="standardContextual"/>
            </w:rPr>
          </w:pPr>
          <w:r>
            <w:fldChar w:fldCharType="begin"/>
          </w:r>
          <w:r>
            <w:instrText xml:space="preserve"> HYPERLINK \l "_Toc185362017" </w:instrText>
          </w:r>
          <w:r>
            <w:fldChar w:fldCharType="separate"/>
          </w:r>
          <w:r>
            <w:rPr>
              <w:rStyle w:val="26"/>
              <w:sz w:val="21"/>
              <w:szCs w:val="21"/>
            </w:rPr>
            <w:t>（五）开展绿色办公</w:t>
          </w:r>
          <w:r>
            <w:rPr>
              <w:sz w:val="21"/>
              <w:szCs w:val="21"/>
            </w:rPr>
            <w:tab/>
          </w:r>
          <w:r>
            <w:rPr>
              <w:sz w:val="21"/>
              <w:szCs w:val="21"/>
            </w:rPr>
            <w:fldChar w:fldCharType="begin"/>
          </w:r>
          <w:r>
            <w:rPr>
              <w:sz w:val="21"/>
              <w:szCs w:val="21"/>
            </w:rPr>
            <w:instrText xml:space="preserve"> PAGEREF _Toc185362017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40A3132D">
          <w:pPr>
            <w:pStyle w:val="18"/>
            <w:tabs>
              <w:tab w:val="right" w:leader="dot" w:pos="8296"/>
            </w:tabs>
            <w:rPr>
              <w:rFonts w:ascii="Times New Roman" w:hAnsi="Times New Roman" w:cs="Times New Roman" w:eastAsiaTheme="minorEastAsia"/>
              <w:b w:val="0"/>
              <w:bCs w:val="0"/>
              <w:sz w:val="16"/>
              <w:szCs w:val="18"/>
              <w14:ligatures w14:val="standardContextual"/>
            </w:rPr>
          </w:pPr>
          <w:r>
            <w:fldChar w:fldCharType="begin"/>
          </w:r>
          <w:r>
            <w:instrText xml:space="preserve"> HYPERLINK \l "_Toc185362018" </w:instrText>
          </w:r>
          <w:r>
            <w:fldChar w:fldCharType="separate"/>
          </w:r>
          <w:r>
            <w:rPr>
              <w:rStyle w:val="26"/>
              <w:rFonts w:ascii="Times New Roman" w:hAnsi="Times New Roman" w:cs="Times New Roman"/>
              <w:sz w:val="22"/>
              <w:szCs w:val="22"/>
            </w:rPr>
            <w:t>社会篇：以人为本 共享和谐之果</w:t>
          </w:r>
          <w:r>
            <w:rPr>
              <w:rFonts w:ascii="Times New Roman" w:hAnsi="Times New Roman" w:cs="Times New Roman"/>
              <w:sz w:val="22"/>
              <w:szCs w:val="22"/>
            </w:rPr>
            <w:tab/>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PAGEREF _Toc185362018 \h </w:instrText>
          </w:r>
          <w:r>
            <w:rPr>
              <w:rFonts w:ascii="Times New Roman" w:hAnsi="Times New Roman" w:cs="Times New Roman"/>
              <w:sz w:val="22"/>
              <w:szCs w:val="22"/>
            </w:rPr>
            <w:fldChar w:fldCharType="separate"/>
          </w:r>
          <w:r>
            <w:rPr>
              <w:rFonts w:ascii="Times New Roman" w:hAnsi="Times New Roman" w:cs="Times New Roman"/>
              <w:sz w:val="22"/>
              <w:szCs w:val="22"/>
            </w:rPr>
            <w:t>13</w:t>
          </w:r>
          <w:r>
            <w:rPr>
              <w:rFonts w:ascii="Times New Roman" w:hAnsi="Times New Roman" w:cs="Times New Roman"/>
              <w:sz w:val="22"/>
              <w:szCs w:val="22"/>
            </w:rPr>
            <w:fldChar w:fldCharType="end"/>
          </w:r>
          <w:r>
            <w:rPr>
              <w:rFonts w:ascii="Times New Roman" w:hAnsi="Times New Roman" w:cs="Times New Roman"/>
              <w:sz w:val="22"/>
              <w:szCs w:val="22"/>
            </w:rPr>
            <w:fldChar w:fldCharType="end"/>
          </w:r>
        </w:p>
        <w:p w14:paraId="4B238D46">
          <w:pPr>
            <w:pStyle w:val="20"/>
            <w:spacing w:line="240" w:lineRule="auto"/>
            <w:rPr>
              <w:sz w:val="16"/>
              <w:szCs w:val="18"/>
              <w14:ligatures w14:val="standardContextual"/>
            </w:rPr>
          </w:pPr>
          <w:r>
            <w:fldChar w:fldCharType="begin"/>
          </w:r>
          <w:r>
            <w:instrText xml:space="preserve"> HYPERLINK \l "_Toc185362019" </w:instrText>
          </w:r>
          <w:r>
            <w:fldChar w:fldCharType="separate"/>
          </w:r>
          <w:r>
            <w:rPr>
              <w:rStyle w:val="26"/>
              <w:sz w:val="21"/>
              <w:szCs w:val="21"/>
            </w:rPr>
            <w:t>（一）员工权益与发展</w:t>
          </w:r>
          <w:r>
            <w:rPr>
              <w:sz w:val="21"/>
              <w:szCs w:val="21"/>
            </w:rPr>
            <w:tab/>
          </w:r>
          <w:r>
            <w:rPr>
              <w:sz w:val="21"/>
              <w:szCs w:val="21"/>
            </w:rPr>
            <w:fldChar w:fldCharType="begin"/>
          </w:r>
          <w:r>
            <w:rPr>
              <w:sz w:val="21"/>
              <w:szCs w:val="21"/>
            </w:rPr>
            <w:instrText xml:space="preserve"> PAGEREF _Toc185362019 \h </w:instrText>
          </w:r>
          <w:r>
            <w:rPr>
              <w:sz w:val="21"/>
              <w:szCs w:val="21"/>
            </w:rPr>
            <w:fldChar w:fldCharType="separate"/>
          </w:r>
          <w:r>
            <w:rPr>
              <w:sz w:val="21"/>
              <w:szCs w:val="21"/>
            </w:rPr>
            <w:t>13</w:t>
          </w:r>
          <w:r>
            <w:rPr>
              <w:sz w:val="21"/>
              <w:szCs w:val="21"/>
            </w:rPr>
            <w:fldChar w:fldCharType="end"/>
          </w:r>
          <w:r>
            <w:rPr>
              <w:sz w:val="21"/>
              <w:szCs w:val="21"/>
            </w:rPr>
            <w:fldChar w:fldCharType="end"/>
          </w:r>
        </w:p>
        <w:p w14:paraId="2DEF8DCC">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"_Toc185362020" </w:instrText>
          </w:r>
          <w:r>
            <w:fldChar w:fldCharType="separate"/>
          </w:r>
          <w:r>
            <w:rPr>
              <w:rStyle w:val="26"/>
              <w:sz w:val="21"/>
              <w:szCs w:val="21"/>
            </w:rPr>
            <w:t>1.保障员工权益</w:t>
          </w:r>
          <w:r>
            <w:rPr>
              <w:sz w:val="21"/>
              <w:szCs w:val="21"/>
            </w:rPr>
            <w:tab/>
          </w:r>
          <w:r>
            <w:rPr>
              <w:sz w:val="21"/>
              <w:szCs w:val="21"/>
            </w:rPr>
            <w:fldChar w:fldCharType="begin"/>
          </w:r>
          <w:r>
            <w:rPr>
              <w:sz w:val="21"/>
              <w:szCs w:val="21"/>
            </w:rPr>
            <w:instrText xml:space="preserve"> PAGEREF _Toc185362020 \h </w:instrText>
          </w:r>
          <w:r>
            <w:rPr>
              <w:sz w:val="21"/>
              <w:szCs w:val="21"/>
            </w:rPr>
            <w:fldChar w:fldCharType="separate"/>
          </w:r>
          <w:r>
            <w:rPr>
              <w:sz w:val="21"/>
              <w:szCs w:val="21"/>
            </w:rPr>
            <w:t>13</w:t>
          </w:r>
          <w:r>
            <w:rPr>
              <w:sz w:val="21"/>
              <w:szCs w:val="21"/>
            </w:rPr>
            <w:fldChar w:fldCharType="end"/>
          </w:r>
          <w:r>
            <w:rPr>
              <w:sz w:val="21"/>
              <w:szCs w:val="21"/>
            </w:rPr>
            <w:fldChar w:fldCharType="end"/>
          </w:r>
        </w:p>
        <w:p w14:paraId="5A1F9D01">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"_Toc185362021" </w:instrText>
          </w:r>
          <w:r>
            <w:fldChar w:fldCharType="separate"/>
          </w:r>
          <w:r>
            <w:rPr>
              <w:rStyle w:val="26"/>
              <w:sz w:val="21"/>
              <w:szCs w:val="21"/>
            </w:rPr>
            <w:t>2.激励员工发展</w:t>
          </w:r>
          <w:r>
            <w:rPr>
              <w:sz w:val="21"/>
              <w:szCs w:val="21"/>
            </w:rPr>
            <w:tab/>
          </w:r>
          <w:r>
            <w:rPr>
              <w:sz w:val="21"/>
              <w:szCs w:val="21"/>
            </w:rPr>
            <w:fldChar w:fldCharType="begin"/>
          </w:r>
          <w:r>
            <w:rPr>
              <w:sz w:val="21"/>
              <w:szCs w:val="21"/>
            </w:rPr>
            <w:instrText xml:space="preserve"> PAGEREF _Toc185362021 \h </w:instrText>
          </w:r>
          <w:r>
            <w:rPr>
              <w:sz w:val="21"/>
              <w:szCs w:val="21"/>
            </w:rPr>
            <w:fldChar w:fldCharType="separate"/>
          </w:r>
          <w:r>
            <w:rPr>
              <w:sz w:val="21"/>
              <w:szCs w:val="21"/>
            </w:rPr>
            <w:t>15</w:t>
          </w:r>
          <w:r>
            <w:rPr>
              <w:sz w:val="21"/>
              <w:szCs w:val="21"/>
            </w:rPr>
            <w:fldChar w:fldCharType="end"/>
          </w:r>
          <w:r>
            <w:rPr>
              <w:sz w:val="21"/>
              <w:szCs w:val="21"/>
            </w:rPr>
            <w:fldChar w:fldCharType="end"/>
          </w:r>
        </w:p>
        <w:p w14:paraId="09D71DA9">
          <w:pPr>
            <w:pStyle w:val="20"/>
            <w:spacing w:line="240" w:lineRule="auto"/>
            <w:rPr>
              <w:sz w:val="16"/>
              <w:szCs w:val="18"/>
              <w14:ligatures w14:val="standardContextual"/>
            </w:rPr>
          </w:pPr>
          <w:r>
            <w:fldChar w:fldCharType="begin"/>
          </w:r>
          <w:r>
            <w:instrText xml:space="preserve"> HYPERLINK \l "_Toc185362022" </w:instrText>
          </w:r>
          <w:r>
            <w:fldChar w:fldCharType="separate"/>
          </w:r>
          <w:r>
            <w:rPr>
              <w:rStyle w:val="26"/>
              <w:sz w:val="21"/>
              <w:szCs w:val="21"/>
            </w:rPr>
            <w:t>（二）职业健康与安全</w:t>
          </w:r>
          <w:r>
            <w:rPr>
              <w:sz w:val="21"/>
              <w:szCs w:val="21"/>
            </w:rPr>
            <w:tab/>
          </w:r>
          <w:r>
            <w:rPr>
              <w:sz w:val="21"/>
              <w:szCs w:val="21"/>
            </w:rPr>
            <w:fldChar w:fldCharType="begin"/>
          </w:r>
          <w:r>
            <w:rPr>
              <w:sz w:val="21"/>
              <w:szCs w:val="21"/>
            </w:rPr>
            <w:instrText xml:space="preserve"> PAGEREF _Toc185362022 \h </w:instrText>
          </w:r>
          <w:r>
            <w:rPr>
              <w:sz w:val="21"/>
              <w:szCs w:val="21"/>
            </w:rPr>
            <w:fldChar w:fldCharType="separate"/>
          </w:r>
          <w:r>
            <w:rPr>
              <w:sz w:val="21"/>
              <w:szCs w:val="21"/>
            </w:rPr>
            <w:t>17</w:t>
          </w:r>
          <w:r>
            <w:rPr>
              <w:sz w:val="21"/>
              <w:szCs w:val="21"/>
            </w:rPr>
            <w:fldChar w:fldCharType="end"/>
          </w:r>
          <w:r>
            <w:rPr>
              <w:sz w:val="21"/>
              <w:szCs w:val="21"/>
            </w:rPr>
            <w:fldChar w:fldCharType="end"/>
          </w:r>
        </w:p>
        <w:p w14:paraId="1C999E42">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"_Toc185362023" </w:instrText>
          </w:r>
          <w:r>
            <w:fldChar w:fldCharType="separate"/>
          </w:r>
          <w:r>
            <w:rPr>
              <w:rStyle w:val="26"/>
              <w:sz w:val="21"/>
              <w:szCs w:val="21"/>
            </w:rPr>
            <w:t>1.守护职业健康</w:t>
          </w:r>
          <w:r>
            <w:rPr>
              <w:sz w:val="21"/>
              <w:szCs w:val="21"/>
            </w:rPr>
            <w:tab/>
          </w:r>
          <w:r>
            <w:rPr>
              <w:sz w:val="21"/>
              <w:szCs w:val="21"/>
            </w:rPr>
            <w:fldChar w:fldCharType="begin"/>
          </w:r>
          <w:r>
            <w:rPr>
              <w:sz w:val="21"/>
              <w:szCs w:val="21"/>
            </w:rPr>
            <w:instrText xml:space="preserve"> PAGEREF _Toc185362023 \h </w:instrText>
          </w:r>
          <w:r>
            <w:rPr>
              <w:sz w:val="21"/>
              <w:szCs w:val="21"/>
            </w:rPr>
            <w:fldChar w:fldCharType="separate"/>
          </w:r>
          <w:r>
            <w:rPr>
              <w:sz w:val="21"/>
              <w:szCs w:val="21"/>
            </w:rPr>
            <w:t>17</w:t>
          </w:r>
          <w:r>
            <w:rPr>
              <w:sz w:val="21"/>
              <w:szCs w:val="21"/>
            </w:rPr>
            <w:fldChar w:fldCharType="end"/>
          </w:r>
          <w:r>
            <w:rPr>
              <w:sz w:val="21"/>
              <w:szCs w:val="21"/>
            </w:rPr>
            <w:fldChar w:fldCharType="end"/>
          </w:r>
        </w:p>
        <w:p w14:paraId="4C5916DA">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"_Toc185362024" </w:instrText>
          </w:r>
          <w:r>
            <w:fldChar w:fldCharType="separate"/>
          </w:r>
          <w:r>
            <w:rPr>
              <w:rStyle w:val="26"/>
              <w:sz w:val="21"/>
              <w:szCs w:val="21"/>
            </w:rPr>
            <w:t>2.安全生产运营</w:t>
          </w:r>
          <w:r>
            <w:rPr>
              <w:sz w:val="21"/>
              <w:szCs w:val="21"/>
            </w:rPr>
            <w:tab/>
          </w:r>
          <w:r>
            <w:rPr>
              <w:sz w:val="21"/>
              <w:szCs w:val="21"/>
            </w:rPr>
            <w:fldChar w:fldCharType="begin"/>
          </w:r>
          <w:r>
            <w:rPr>
              <w:sz w:val="21"/>
              <w:szCs w:val="21"/>
            </w:rPr>
            <w:instrText xml:space="preserve"> PAGEREF _Toc185362024 \h </w:instrText>
          </w:r>
          <w:r>
            <w:rPr>
              <w:sz w:val="21"/>
              <w:szCs w:val="21"/>
            </w:rPr>
            <w:fldChar w:fldCharType="separate"/>
          </w:r>
          <w:r>
            <w:rPr>
              <w:sz w:val="21"/>
              <w:szCs w:val="21"/>
            </w:rPr>
            <w:t>18</w:t>
          </w:r>
          <w:r>
            <w:rPr>
              <w:sz w:val="21"/>
              <w:szCs w:val="21"/>
            </w:rPr>
            <w:fldChar w:fldCharType="end"/>
          </w:r>
          <w:r>
            <w:rPr>
              <w:sz w:val="21"/>
              <w:szCs w:val="21"/>
            </w:rPr>
            <w:fldChar w:fldCharType="end"/>
          </w:r>
        </w:p>
        <w:p w14:paraId="10CE90F9">
          <w:pPr>
            <w:pStyle w:val="20"/>
            <w:spacing w:line="240" w:lineRule="auto"/>
            <w:rPr>
              <w:sz w:val="16"/>
              <w:szCs w:val="18"/>
              <w14:ligatures w14:val="standardContextual"/>
            </w:rPr>
          </w:pPr>
          <w:r>
            <w:fldChar w:fldCharType="begin"/>
          </w:r>
          <w:r>
            <w:instrText xml:space="preserve"> HYPERLINK \l "_Toc185362025" </w:instrText>
          </w:r>
          <w:r>
            <w:fldChar w:fldCharType="separate"/>
          </w:r>
          <w:r>
            <w:rPr>
              <w:rStyle w:val="26"/>
              <w:sz w:val="21"/>
              <w:szCs w:val="21"/>
            </w:rPr>
            <w:t>（三）志愿服务与慈善</w:t>
          </w:r>
          <w:r>
            <w:rPr>
              <w:sz w:val="21"/>
              <w:szCs w:val="21"/>
            </w:rPr>
            <w:tab/>
          </w:r>
          <w:r>
            <w:rPr>
              <w:sz w:val="21"/>
              <w:szCs w:val="21"/>
            </w:rPr>
            <w:fldChar w:fldCharType="begin"/>
          </w:r>
          <w:r>
            <w:rPr>
              <w:sz w:val="21"/>
              <w:szCs w:val="21"/>
            </w:rPr>
            <w:instrText xml:space="preserve"> PAGEREF _Toc185362025 \h </w:instrText>
          </w:r>
          <w:r>
            <w:rPr>
              <w:sz w:val="21"/>
              <w:szCs w:val="21"/>
            </w:rPr>
            <w:fldChar w:fldCharType="separate"/>
          </w:r>
          <w:r>
            <w:rPr>
              <w:sz w:val="21"/>
              <w:szCs w:val="21"/>
            </w:rPr>
            <w:t>21</w:t>
          </w:r>
          <w:r>
            <w:rPr>
              <w:sz w:val="21"/>
              <w:szCs w:val="21"/>
            </w:rPr>
            <w:fldChar w:fldCharType="end"/>
          </w:r>
          <w:r>
            <w:rPr>
              <w:sz w:val="21"/>
              <w:szCs w:val="21"/>
            </w:rPr>
            <w:fldChar w:fldCharType="end"/>
          </w:r>
        </w:p>
        <w:p w14:paraId="5F9C69E3">
          <w:pPr>
            <w:pStyle w:val="18"/>
            <w:tabs>
              <w:tab w:val="right" w:leader="dot" w:pos="8296"/>
            </w:tabs>
            <w:rPr>
              <w:rFonts w:ascii="Times New Roman" w:hAnsi="Times New Roman" w:cs="Times New Roman" w:eastAsiaTheme="minorEastAsia"/>
              <w:b w:val="0"/>
              <w:bCs w:val="0"/>
              <w:sz w:val="16"/>
              <w:szCs w:val="18"/>
              <w14:ligatures w14:val="standardContextual"/>
            </w:rPr>
          </w:pPr>
          <w:r>
            <w:fldChar w:fldCharType="begin"/>
          </w:r>
          <w:r>
            <w:instrText xml:space="preserve"> HYPERLINK \l "_Toc185362026" </w:instrText>
          </w:r>
          <w:r>
            <w:fldChar w:fldCharType="separate"/>
          </w:r>
          <w:r>
            <w:rPr>
              <w:rStyle w:val="26"/>
              <w:rFonts w:ascii="Times New Roman" w:hAnsi="Times New Roman" w:cs="Times New Roman"/>
              <w:sz w:val="22"/>
              <w:szCs w:val="22"/>
            </w:rPr>
            <w:t>治理篇：价值导向 筑牢治理之根</w:t>
          </w:r>
          <w:r>
            <w:rPr>
              <w:rFonts w:ascii="Times New Roman" w:hAnsi="Times New Roman" w:cs="Times New Roman"/>
              <w:sz w:val="22"/>
              <w:szCs w:val="22"/>
            </w:rPr>
            <w:tab/>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PAGEREF _Toc185362026 \h </w:instrText>
          </w:r>
          <w:r>
            <w:rPr>
              <w:rFonts w:ascii="Times New Roman" w:hAnsi="Times New Roman" w:cs="Times New Roman"/>
              <w:sz w:val="22"/>
              <w:szCs w:val="22"/>
            </w:rPr>
            <w:fldChar w:fldCharType="separate"/>
          </w:r>
          <w:r>
            <w:rPr>
              <w:rFonts w:ascii="Times New Roman" w:hAnsi="Times New Roman" w:cs="Times New Roman"/>
              <w:sz w:val="22"/>
              <w:szCs w:val="22"/>
            </w:rPr>
            <w:t>23</w:t>
          </w:r>
          <w:r>
            <w:rPr>
              <w:rFonts w:ascii="Times New Roman" w:hAnsi="Times New Roman" w:cs="Times New Roman"/>
              <w:sz w:val="22"/>
              <w:szCs w:val="22"/>
            </w:rPr>
            <w:fldChar w:fldCharType="end"/>
          </w:r>
          <w:r>
            <w:rPr>
              <w:rFonts w:ascii="Times New Roman" w:hAnsi="Times New Roman" w:cs="Times New Roman"/>
              <w:sz w:val="22"/>
              <w:szCs w:val="22"/>
            </w:rPr>
            <w:fldChar w:fldCharType="end"/>
          </w:r>
        </w:p>
        <w:p w14:paraId="0E97039B">
          <w:pPr>
            <w:pStyle w:val="20"/>
            <w:spacing w:line="240" w:lineRule="auto"/>
            <w:rPr>
              <w:sz w:val="16"/>
              <w:szCs w:val="18"/>
              <w14:ligatures w14:val="standardContextual"/>
            </w:rPr>
          </w:pPr>
          <w:r>
            <w:fldChar w:fldCharType="begin"/>
          </w:r>
          <w:r>
            <w:instrText xml:space="preserve"> HYPERLINK \l "_Toc185362027" </w:instrText>
          </w:r>
          <w:r>
            <w:fldChar w:fldCharType="separate"/>
          </w:r>
          <w:r>
            <w:rPr>
              <w:rStyle w:val="26"/>
              <w:sz w:val="21"/>
              <w:szCs w:val="21"/>
            </w:rPr>
            <w:t>（一）规范公司治理</w:t>
          </w:r>
          <w:r>
            <w:rPr>
              <w:sz w:val="21"/>
              <w:szCs w:val="21"/>
            </w:rPr>
            <w:tab/>
          </w:r>
          <w:r>
            <w:rPr>
              <w:sz w:val="21"/>
              <w:szCs w:val="21"/>
            </w:rPr>
            <w:fldChar w:fldCharType="begin"/>
          </w:r>
          <w:r>
            <w:rPr>
              <w:sz w:val="21"/>
              <w:szCs w:val="21"/>
            </w:rPr>
            <w:instrText xml:space="preserve"> PAGEREF _Toc185362027 \h </w:instrText>
          </w:r>
          <w:r>
            <w:rPr>
              <w:sz w:val="21"/>
              <w:szCs w:val="21"/>
            </w:rPr>
            <w:fldChar w:fldCharType="separate"/>
          </w:r>
          <w:r>
            <w:rPr>
              <w:sz w:val="21"/>
              <w:szCs w:val="21"/>
            </w:rPr>
            <w:t>23</w:t>
          </w:r>
          <w:r>
            <w:rPr>
              <w:sz w:val="21"/>
              <w:szCs w:val="21"/>
            </w:rPr>
            <w:fldChar w:fldCharType="end"/>
          </w:r>
          <w:r>
            <w:rPr>
              <w:sz w:val="21"/>
              <w:szCs w:val="21"/>
            </w:rPr>
            <w:fldChar w:fldCharType="end"/>
          </w:r>
        </w:p>
        <w:p w14:paraId="5272187D">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"_Toc185362028" </w:instrText>
          </w:r>
          <w:r>
            <w:fldChar w:fldCharType="separate"/>
          </w:r>
          <w:r>
            <w:rPr>
              <w:rStyle w:val="26"/>
              <w:sz w:val="21"/>
              <w:szCs w:val="21"/>
            </w:rPr>
            <w:t>1.公司组织架构</w:t>
          </w:r>
          <w:r>
            <w:rPr>
              <w:sz w:val="21"/>
              <w:szCs w:val="21"/>
            </w:rPr>
            <w:tab/>
          </w:r>
          <w:r>
            <w:rPr>
              <w:sz w:val="21"/>
              <w:szCs w:val="21"/>
            </w:rPr>
            <w:fldChar w:fldCharType="begin"/>
          </w:r>
          <w:r>
            <w:rPr>
              <w:sz w:val="21"/>
              <w:szCs w:val="21"/>
            </w:rPr>
            <w:instrText xml:space="preserve"> PAGEREF _Toc185362028 \h </w:instrText>
          </w:r>
          <w:r>
            <w:rPr>
              <w:sz w:val="21"/>
              <w:szCs w:val="21"/>
            </w:rPr>
            <w:fldChar w:fldCharType="separate"/>
          </w:r>
          <w:r>
            <w:rPr>
              <w:sz w:val="21"/>
              <w:szCs w:val="21"/>
            </w:rPr>
            <w:t>23</w:t>
          </w:r>
          <w:r>
            <w:rPr>
              <w:sz w:val="21"/>
              <w:szCs w:val="21"/>
            </w:rPr>
            <w:fldChar w:fldCharType="end"/>
          </w:r>
          <w:r>
            <w:rPr>
              <w:sz w:val="21"/>
              <w:szCs w:val="21"/>
            </w:rPr>
            <w:fldChar w:fldCharType="end"/>
          </w:r>
        </w:p>
        <w:p w14:paraId="7E2262AD">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"_Toc185362029" </w:instrText>
          </w:r>
          <w:r>
            <w:fldChar w:fldCharType="separate"/>
          </w:r>
          <w:r>
            <w:rPr>
              <w:rStyle w:val="26"/>
              <w:sz w:val="21"/>
              <w:szCs w:val="21"/>
            </w:rPr>
            <w:t>2.强化合规风控</w:t>
          </w:r>
          <w:r>
            <w:rPr>
              <w:sz w:val="21"/>
              <w:szCs w:val="21"/>
            </w:rPr>
            <w:tab/>
          </w:r>
          <w:r>
            <w:rPr>
              <w:sz w:val="21"/>
              <w:szCs w:val="21"/>
            </w:rPr>
            <w:fldChar w:fldCharType="begin"/>
          </w:r>
          <w:r>
            <w:rPr>
              <w:sz w:val="21"/>
              <w:szCs w:val="21"/>
            </w:rPr>
            <w:instrText xml:space="preserve"> PAGEREF _Toc185362029 \h </w:instrText>
          </w:r>
          <w:r>
            <w:rPr>
              <w:sz w:val="21"/>
              <w:szCs w:val="21"/>
            </w:rPr>
            <w:fldChar w:fldCharType="separate"/>
          </w:r>
          <w:r>
            <w:rPr>
              <w:sz w:val="21"/>
              <w:szCs w:val="21"/>
            </w:rPr>
            <w:t>24</w:t>
          </w:r>
          <w:r>
            <w:rPr>
              <w:sz w:val="21"/>
              <w:szCs w:val="21"/>
            </w:rPr>
            <w:fldChar w:fldCharType="end"/>
          </w:r>
          <w:r>
            <w:rPr>
              <w:sz w:val="21"/>
              <w:szCs w:val="21"/>
            </w:rPr>
            <w:fldChar w:fldCharType="end"/>
          </w:r>
        </w:p>
        <w:p w14:paraId="08307CF0">
          <w:pPr>
            <w:pStyle w:val="20"/>
            <w:spacing w:line="240" w:lineRule="auto"/>
            <w:rPr>
              <w:sz w:val="16"/>
              <w:szCs w:val="18"/>
              <w14:ligatures w14:val="standardContextual"/>
            </w:rPr>
          </w:pPr>
          <w:r>
            <w:fldChar w:fldCharType="begin"/>
          </w:r>
          <w:r>
            <w:instrText xml:space="preserve"> HYPERLINK \l "_Toc185362030" </w:instrText>
          </w:r>
          <w:r>
            <w:fldChar w:fldCharType="separate"/>
          </w:r>
          <w:r>
            <w:rPr>
              <w:rStyle w:val="26"/>
              <w:sz w:val="21"/>
              <w:szCs w:val="21"/>
            </w:rPr>
            <w:t>（二）践行商业道德</w:t>
          </w:r>
          <w:r>
            <w:rPr>
              <w:sz w:val="21"/>
              <w:szCs w:val="21"/>
            </w:rPr>
            <w:tab/>
          </w:r>
          <w:r>
            <w:rPr>
              <w:sz w:val="21"/>
              <w:szCs w:val="21"/>
            </w:rPr>
            <w:fldChar w:fldCharType="begin"/>
          </w:r>
          <w:r>
            <w:rPr>
              <w:sz w:val="21"/>
              <w:szCs w:val="21"/>
            </w:rPr>
            <w:instrText xml:space="preserve"> PAGEREF _Toc185362030 \h </w:instrText>
          </w:r>
          <w:r>
            <w:rPr>
              <w:sz w:val="21"/>
              <w:szCs w:val="21"/>
            </w:rPr>
            <w:fldChar w:fldCharType="separate"/>
          </w:r>
          <w:r>
            <w:rPr>
              <w:sz w:val="21"/>
              <w:szCs w:val="21"/>
            </w:rPr>
            <w:t>25</w:t>
          </w:r>
          <w:r>
            <w:rPr>
              <w:sz w:val="21"/>
              <w:szCs w:val="21"/>
            </w:rPr>
            <w:fldChar w:fldCharType="end"/>
          </w:r>
          <w:r>
            <w:rPr>
              <w:sz w:val="21"/>
              <w:szCs w:val="21"/>
            </w:rPr>
            <w:fldChar w:fldCharType="end"/>
          </w:r>
        </w:p>
        <w:p w14:paraId="4735C0DA">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"_Toc185362031" </w:instrText>
          </w:r>
          <w:r>
            <w:fldChar w:fldCharType="separate"/>
          </w:r>
          <w:r>
            <w:rPr>
              <w:rStyle w:val="26"/>
              <w:sz w:val="21"/>
              <w:szCs w:val="21"/>
            </w:rPr>
            <w:t>1.培育廉洁清风</w:t>
          </w:r>
          <w:r>
            <w:rPr>
              <w:sz w:val="21"/>
              <w:szCs w:val="21"/>
            </w:rPr>
            <w:tab/>
          </w:r>
          <w:r>
            <w:rPr>
              <w:sz w:val="21"/>
              <w:szCs w:val="21"/>
            </w:rPr>
            <w:fldChar w:fldCharType="begin"/>
          </w:r>
          <w:r>
            <w:rPr>
              <w:sz w:val="21"/>
              <w:szCs w:val="21"/>
            </w:rPr>
            <w:instrText xml:space="preserve"> PAGEREF _Toc185362031 \h </w:instrText>
          </w:r>
          <w:r>
            <w:rPr>
              <w:sz w:val="21"/>
              <w:szCs w:val="21"/>
            </w:rPr>
            <w:fldChar w:fldCharType="separate"/>
          </w:r>
          <w:r>
            <w:rPr>
              <w:sz w:val="21"/>
              <w:szCs w:val="21"/>
            </w:rPr>
            <w:t>25</w:t>
          </w:r>
          <w:r>
            <w:rPr>
              <w:sz w:val="21"/>
              <w:szCs w:val="21"/>
            </w:rPr>
            <w:fldChar w:fldCharType="end"/>
          </w:r>
          <w:r>
            <w:rPr>
              <w:sz w:val="21"/>
              <w:szCs w:val="21"/>
            </w:rPr>
            <w:fldChar w:fldCharType="end"/>
          </w:r>
        </w:p>
        <w:p w14:paraId="743457D7">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"_Toc185362032" </w:instrText>
          </w:r>
          <w:r>
            <w:fldChar w:fldCharType="separate"/>
          </w:r>
          <w:r>
            <w:rPr>
              <w:rStyle w:val="26"/>
              <w:sz w:val="21"/>
              <w:szCs w:val="21"/>
            </w:rPr>
            <w:t>2.商业道德规范</w:t>
          </w:r>
          <w:r>
            <w:rPr>
              <w:sz w:val="21"/>
              <w:szCs w:val="21"/>
            </w:rPr>
            <w:tab/>
          </w:r>
          <w:r>
            <w:rPr>
              <w:sz w:val="21"/>
              <w:szCs w:val="21"/>
            </w:rPr>
            <w:fldChar w:fldCharType="begin"/>
          </w:r>
          <w:r>
            <w:rPr>
              <w:sz w:val="21"/>
              <w:szCs w:val="21"/>
            </w:rPr>
            <w:instrText xml:space="preserve"> PAGEREF _Toc185362032 \h </w:instrText>
          </w:r>
          <w:r>
            <w:rPr>
              <w:sz w:val="21"/>
              <w:szCs w:val="21"/>
            </w:rPr>
            <w:fldChar w:fldCharType="separate"/>
          </w:r>
          <w:r>
            <w:rPr>
              <w:sz w:val="21"/>
              <w:szCs w:val="21"/>
            </w:rPr>
            <w:t>26</w:t>
          </w:r>
          <w:r>
            <w:rPr>
              <w:sz w:val="21"/>
              <w:szCs w:val="21"/>
            </w:rPr>
            <w:fldChar w:fldCharType="end"/>
          </w:r>
          <w:r>
            <w:rPr>
              <w:sz w:val="21"/>
              <w:szCs w:val="21"/>
            </w:rPr>
            <w:fldChar w:fldCharType="end"/>
          </w:r>
        </w:p>
        <w:p w14:paraId="171ABB7C">
          <w:pPr>
            <w:pStyle w:val="20"/>
            <w:spacing w:line="240" w:lineRule="auto"/>
            <w:rPr>
              <w:sz w:val="16"/>
              <w:szCs w:val="18"/>
              <w14:ligatures w14:val="standardContextual"/>
            </w:rPr>
          </w:pPr>
          <w:r>
            <w:fldChar w:fldCharType="begin"/>
          </w:r>
          <w:r>
            <w:instrText xml:space="preserve"> HYPERLINK \l "_Toc185362033" </w:instrText>
          </w:r>
          <w:r>
            <w:fldChar w:fldCharType="separate"/>
          </w:r>
          <w:r>
            <w:rPr>
              <w:rStyle w:val="26"/>
              <w:sz w:val="21"/>
              <w:szCs w:val="21"/>
            </w:rPr>
            <w:t>（三）创新驱动发展</w:t>
          </w:r>
          <w:r>
            <w:rPr>
              <w:sz w:val="21"/>
              <w:szCs w:val="21"/>
            </w:rPr>
            <w:tab/>
          </w:r>
          <w:r>
            <w:rPr>
              <w:sz w:val="21"/>
              <w:szCs w:val="21"/>
            </w:rPr>
            <w:fldChar w:fldCharType="begin"/>
          </w:r>
          <w:r>
            <w:rPr>
              <w:sz w:val="21"/>
              <w:szCs w:val="21"/>
            </w:rPr>
            <w:instrText xml:space="preserve"> PAGEREF _Toc185362033 \h </w:instrText>
          </w:r>
          <w:r>
            <w:rPr>
              <w:sz w:val="21"/>
              <w:szCs w:val="21"/>
            </w:rPr>
            <w:fldChar w:fldCharType="separate"/>
          </w:r>
          <w:r>
            <w:rPr>
              <w:sz w:val="21"/>
              <w:szCs w:val="21"/>
            </w:rPr>
            <w:t>27</w:t>
          </w:r>
          <w:r>
            <w:rPr>
              <w:sz w:val="21"/>
              <w:szCs w:val="21"/>
            </w:rPr>
            <w:fldChar w:fldCharType="end"/>
          </w:r>
          <w:r>
            <w:rPr>
              <w:sz w:val="21"/>
              <w:szCs w:val="21"/>
            </w:rPr>
            <w:fldChar w:fldCharType="end"/>
          </w:r>
        </w:p>
        <w:p w14:paraId="77973892">
          <w:pPr>
            <w:pStyle w:val="20"/>
            <w:spacing w:line="240" w:lineRule="auto"/>
            <w:rPr>
              <w:sz w:val="16"/>
              <w:szCs w:val="18"/>
              <w14:ligatures w14:val="standardContextual"/>
            </w:rPr>
          </w:pPr>
          <w:r>
            <w:fldChar w:fldCharType="begin"/>
          </w:r>
          <w:r>
            <w:instrText xml:space="preserve"> HYPERLINK \l "_Toc185362034" </w:instrText>
          </w:r>
          <w:r>
            <w:fldChar w:fldCharType="separate"/>
          </w:r>
          <w:r>
            <w:rPr>
              <w:rStyle w:val="26"/>
              <w:sz w:val="21"/>
              <w:szCs w:val="21"/>
            </w:rPr>
            <w:t>（四）追求卓越品质</w:t>
          </w:r>
          <w:r>
            <w:rPr>
              <w:sz w:val="21"/>
              <w:szCs w:val="21"/>
            </w:rPr>
            <w:tab/>
          </w:r>
          <w:r>
            <w:rPr>
              <w:sz w:val="21"/>
              <w:szCs w:val="21"/>
            </w:rPr>
            <w:fldChar w:fldCharType="begin"/>
          </w:r>
          <w:r>
            <w:rPr>
              <w:sz w:val="21"/>
              <w:szCs w:val="21"/>
            </w:rPr>
            <w:instrText xml:space="preserve"> PAGEREF _Toc185362034 \h </w:instrText>
          </w:r>
          <w:r>
            <w:rPr>
              <w:sz w:val="21"/>
              <w:szCs w:val="21"/>
            </w:rPr>
            <w:fldChar w:fldCharType="separate"/>
          </w:r>
          <w:r>
            <w:rPr>
              <w:sz w:val="21"/>
              <w:szCs w:val="21"/>
            </w:rPr>
            <w:t>27</w:t>
          </w:r>
          <w:r>
            <w:rPr>
              <w:sz w:val="21"/>
              <w:szCs w:val="21"/>
            </w:rPr>
            <w:fldChar w:fldCharType="end"/>
          </w:r>
          <w:r>
            <w:rPr>
              <w:sz w:val="21"/>
              <w:szCs w:val="21"/>
            </w:rPr>
            <w:fldChar w:fldCharType="end"/>
          </w:r>
        </w:p>
        <w:p w14:paraId="7F621F8A">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"_Toc185362035" </w:instrText>
          </w:r>
          <w:r>
            <w:fldChar w:fldCharType="separate"/>
          </w:r>
          <w:r>
            <w:rPr>
              <w:rStyle w:val="26"/>
              <w:sz w:val="21"/>
              <w:szCs w:val="21"/>
            </w:rPr>
            <w:t>1.提升产品质量</w:t>
          </w:r>
          <w:r>
            <w:rPr>
              <w:sz w:val="21"/>
              <w:szCs w:val="21"/>
            </w:rPr>
            <w:tab/>
          </w:r>
          <w:r>
            <w:rPr>
              <w:sz w:val="21"/>
              <w:szCs w:val="21"/>
            </w:rPr>
            <w:fldChar w:fldCharType="begin"/>
          </w:r>
          <w:r>
            <w:rPr>
              <w:sz w:val="21"/>
              <w:szCs w:val="21"/>
            </w:rPr>
            <w:instrText xml:space="preserve"> PAGEREF _Toc185362035 \h </w:instrText>
          </w:r>
          <w:r>
            <w:rPr>
              <w:sz w:val="21"/>
              <w:szCs w:val="21"/>
            </w:rPr>
            <w:fldChar w:fldCharType="separate"/>
          </w:r>
          <w:r>
            <w:rPr>
              <w:sz w:val="21"/>
              <w:szCs w:val="21"/>
            </w:rPr>
            <w:t>28</w:t>
          </w:r>
          <w:r>
            <w:rPr>
              <w:sz w:val="21"/>
              <w:szCs w:val="21"/>
            </w:rPr>
            <w:fldChar w:fldCharType="end"/>
          </w:r>
          <w:r>
            <w:rPr>
              <w:sz w:val="21"/>
              <w:szCs w:val="21"/>
            </w:rPr>
            <w:fldChar w:fldCharType="end"/>
          </w:r>
        </w:p>
        <w:p w14:paraId="7260DD8D">
          <w:pPr>
            <w:pStyle w:val="13"/>
            <w:tabs>
              <w:tab w:val="right" w:leader="dot" w:pos="8296"/>
            </w:tabs>
            <w:spacing w:line="240" w:lineRule="auto"/>
            <w:ind w:leftChars="300"/>
            <w:rPr>
              <w:sz w:val="16"/>
              <w:szCs w:val="18"/>
              <w14:ligatures w14:val="standardContextual"/>
            </w:rPr>
          </w:pPr>
          <w:r>
            <w:fldChar w:fldCharType="begin"/>
          </w:r>
          <w:r>
            <w:instrText xml:space="preserve"> HYPERLINK \l "_Toc185362036" </w:instrText>
          </w:r>
          <w:r>
            <w:fldChar w:fldCharType="separate"/>
          </w:r>
          <w:r>
            <w:rPr>
              <w:rStyle w:val="26"/>
              <w:sz w:val="21"/>
              <w:szCs w:val="21"/>
            </w:rPr>
            <w:t>2.优化客户服务</w:t>
          </w:r>
          <w:r>
            <w:rPr>
              <w:sz w:val="21"/>
              <w:szCs w:val="21"/>
            </w:rPr>
            <w:tab/>
          </w:r>
          <w:r>
            <w:rPr>
              <w:sz w:val="21"/>
              <w:szCs w:val="21"/>
            </w:rPr>
            <w:fldChar w:fldCharType="begin"/>
          </w:r>
          <w:r>
            <w:rPr>
              <w:sz w:val="21"/>
              <w:szCs w:val="21"/>
            </w:rPr>
            <w:instrText xml:space="preserve"> PAGEREF _Toc185362036 \h </w:instrText>
          </w:r>
          <w:r>
            <w:rPr>
              <w:sz w:val="21"/>
              <w:szCs w:val="21"/>
            </w:rPr>
            <w:fldChar w:fldCharType="separate"/>
          </w:r>
          <w:r>
            <w:rPr>
              <w:sz w:val="21"/>
              <w:szCs w:val="21"/>
            </w:rPr>
            <w:t>29</w:t>
          </w:r>
          <w:r>
            <w:rPr>
              <w:sz w:val="21"/>
              <w:szCs w:val="21"/>
            </w:rPr>
            <w:fldChar w:fldCharType="end"/>
          </w:r>
          <w:r>
            <w:rPr>
              <w:sz w:val="21"/>
              <w:szCs w:val="21"/>
            </w:rPr>
            <w:fldChar w:fldCharType="end"/>
          </w:r>
        </w:p>
        <w:p w14:paraId="09206422">
          <w:pPr>
            <w:pStyle w:val="20"/>
            <w:spacing w:line="240" w:lineRule="auto"/>
            <w:rPr>
              <w:sz w:val="16"/>
              <w:szCs w:val="18"/>
              <w14:ligatures w14:val="standardContextual"/>
            </w:rPr>
          </w:pPr>
          <w:r>
            <w:fldChar w:fldCharType="begin"/>
          </w:r>
          <w:r>
            <w:instrText xml:space="preserve"> HYPERLINK \l "_Toc185362037" </w:instrText>
          </w:r>
          <w:r>
            <w:fldChar w:fldCharType="separate"/>
          </w:r>
          <w:r>
            <w:rPr>
              <w:rStyle w:val="26"/>
              <w:sz w:val="21"/>
              <w:szCs w:val="21"/>
            </w:rPr>
            <w:t>（五）保障信息安全</w:t>
          </w:r>
          <w:r>
            <w:rPr>
              <w:sz w:val="21"/>
              <w:szCs w:val="21"/>
            </w:rPr>
            <w:tab/>
          </w:r>
          <w:r>
            <w:rPr>
              <w:sz w:val="21"/>
              <w:szCs w:val="21"/>
            </w:rPr>
            <w:fldChar w:fldCharType="begin"/>
          </w:r>
          <w:r>
            <w:rPr>
              <w:sz w:val="21"/>
              <w:szCs w:val="21"/>
            </w:rPr>
            <w:instrText xml:space="preserve"> PAGEREF _Toc185362037 \h </w:instrText>
          </w:r>
          <w:r>
            <w:rPr>
              <w:sz w:val="21"/>
              <w:szCs w:val="21"/>
            </w:rPr>
            <w:fldChar w:fldCharType="separate"/>
          </w:r>
          <w:r>
            <w:rPr>
              <w:sz w:val="21"/>
              <w:szCs w:val="21"/>
            </w:rPr>
            <w:t>30</w:t>
          </w:r>
          <w:r>
            <w:rPr>
              <w:sz w:val="21"/>
              <w:szCs w:val="21"/>
            </w:rPr>
            <w:fldChar w:fldCharType="end"/>
          </w:r>
          <w:r>
            <w:rPr>
              <w:sz w:val="21"/>
              <w:szCs w:val="21"/>
            </w:rPr>
            <w:fldChar w:fldCharType="end"/>
          </w:r>
        </w:p>
        <w:p w14:paraId="3AAE3435">
          <w:pPr>
            <w:pStyle w:val="18"/>
            <w:tabs>
              <w:tab w:val="right" w:leader="dot" w:pos="8296"/>
            </w:tabs>
            <w:rPr>
              <w:rFonts w:ascii="Times New Roman" w:hAnsi="Times New Roman" w:cs="Times New Roman" w:eastAsiaTheme="minorEastAsia"/>
              <w:b w:val="0"/>
              <w:bCs w:val="0"/>
              <w:sz w:val="16"/>
              <w:szCs w:val="18"/>
              <w14:ligatures w14:val="standardContextual"/>
            </w:rPr>
          </w:pPr>
          <w:r>
            <w:fldChar w:fldCharType="begin"/>
          </w:r>
          <w:r>
            <w:instrText xml:space="preserve"> HYPERLINK \l "_Toc185362038" </w:instrText>
          </w:r>
          <w:r>
            <w:fldChar w:fldCharType="separate"/>
          </w:r>
          <w:r>
            <w:rPr>
              <w:rStyle w:val="26"/>
              <w:rFonts w:ascii="Times New Roman" w:hAnsi="Times New Roman" w:cs="Times New Roman"/>
              <w:sz w:val="22"/>
              <w:szCs w:val="22"/>
            </w:rPr>
            <w:t>附录：GRI Standards指标索引</w:t>
          </w:r>
          <w:r>
            <w:rPr>
              <w:rFonts w:ascii="Times New Roman" w:hAnsi="Times New Roman" w:cs="Times New Roman"/>
              <w:sz w:val="22"/>
              <w:szCs w:val="22"/>
            </w:rPr>
            <w:tab/>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PAGEREF _Toc185362038 \h </w:instrText>
          </w:r>
          <w:r>
            <w:rPr>
              <w:rFonts w:ascii="Times New Roman" w:hAnsi="Times New Roman" w:cs="Times New Roman"/>
              <w:sz w:val="22"/>
              <w:szCs w:val="22"/>
            </w:rPr>
            <w:fldChar w:fldCharType="separate"/>
          </w:r>
          <w:r>
            <w:rPr>
              <w:rFonts w:ascii="Times New Roman" w:hAnsi="Times New Roman" w:cs="Times New Roman"/>
              <w:sz w:val="22"/>
              <w:szCs w:val="22"/>
            </w:rPr>
            <w:t>32</w:t>
          </w:r>
          <w:r>
            <w:rPr>
              <w:rFonts w:ascii="Times New Roman" w:hAnsi="Times New Roman" w:cs="Times New Roman"/>
              <w:sz w:val="22"/>
              <w:szCs w:val="22"/>
            </w:rPr>
            <w:fldChar w:fldCharType="end"/>
          </w:r>
          <w:r>
            <w:rPr>
              <w:rFonts w:ascii="Times New Roman" w:hAnsi="Times New Roman" w:cs="Times New Roman"/>
              <w:sz w:val="22"/>
              <w:szCs w:val="22"/>
            </w:rPr>
            <w:fldChar w:fldCharType="end"/>
          </w:r>
        </w:p>
        <w:p w14:paraId="6EE7C61F">
          <w:pPr>
            <w:spacing w:line="240" w:lineRule="auto"/>
            <w:ind w:firstLine="321"/>
          </w:pPr>
          <w:r>
            <w:rPr>
              <w:b/>
              <w:bCs/>
              <w:sz w:val="16"/>
              <w:szCs w:val="16"/>
              <w:lang w:val="zh-CN"/>
            </w:rPr>
            <w:fldChar w:fldCharType="end"/>
          </w:r>
        </w:p>
      </w:sdtContent>
    </w:sdt>
    <w:p w14:paraId="7E3E7FB1">
      <w:pPr>
        <w:pStyle w:val="2"/>
        <w:ind w:left="560"/>
      </w:pPr>
    </w:p>
    <w:p w14:paraId="3EB5B6C4">
      <w:pPr>
        <w:sectPr>
          <w:footerReference r:id="rId11" w:type="default"/>
          <w:pgSz w:w="11906" w:h="16838"/>
          <w:pgMar w:top="1440" w:right="1800" w:bottom="1440" w:left="1800" w:header="851" w:footer="992" w:gutter="0"/>
          <w:pgNumType w:fmt="upperRoman" w:start="1"/>
          <w:cols w:space="425" w:num="1"/>
          <w:docGrid w:type="lines" w:linePitch="312" w:charSpace="0"/>
        </w:sectPr>
      </w:pPr>
    </w:p>
    <w:p w14:paraId="5C3154A5">
      <w:pPr>
        <w:pStyle w:val="2"/>
        <w:ind w:left="560"/>
      </w:pPr>
      <w:bookmarkStart w:id="16" w:name="_Toc185361999"/>
      <w:r>
        <w:t>关于本报告</w:t>
      </w:r>
      <w:bookmarkEnd w:id="16"/>
    </w:p>
    <w:bookmarkEnd w:id="11"/>
    <w:bookmarkEnd w:id="12"/>
    <w:bookmarkEnd w:id="13"/>
    <w:bookmarkEnd w:id="14"/>
    <w:bookmarkEnd w:id="15"/>
    <w:p w14:paraId="6B8916CE">
      <w:r>
        <w:t>本报告是河北宁强钢构集团有限公司发布的首份《环境、社会及公司治理（ESG）报告》。秉承客观、真实的原则，</w:t>
      </w:r>
      <w:bookmarkStart w:id="17" w:name="_Toc2212"/>
      <w:bookmarkStart w:id="18" w:name="_Toc7917"/>
      <w:bookmarkStart w:id="19" w:name="_Toc12809"/>
      <w:bookmarkStart w:id="20" w:name="_Toc11861"/>
      <w:bookmarkStart w:id="21" w:name="_Toc5199"/>
      <w:r>
        <w:t>本报告详细披露了公司在环境保护、社会责任与公司治理领域的管理理念、实践和绩效。公司承诺本报告不存在任何虚假记载、误导性陈述，并对其内容真实性、准确性和完整性负责。</w:t>
      </w:r>
    </w:p>
    <w:p w14:paraId="053CC703">
      <w:pPr>
        <w:pStyle w:val="3"/>
        <w:ind w:firstLine="562"/>
        <w:rPr>
          <w:rFonts w:ascii="Times New Roman" w:hAnsi="Times New Roman"/>
        </w:rPr>
      </w:pPr>
      <w:bookmarkStart w:id="22" w:name="_Toc185362000"/>
      <w:r>
        <w:rPr>
          <w:rFonts w:ascii="Times New Roman" w:hAnsi="Times New Roman"/>
        </w:rPr>
        <w:t>（一）时间范围</w:t>
      </w:r>
      <w:bookmarkEnd w:id="17"/>
      <w:bookmarkEnd w:id="18"/>
      <w:bookmarkEnd w:id="19"/>
      <w:bookmarkEnd w:id="20"/>
      <w:bookmarkEnd w:id="21"/>
      <w:bookmarkEnd w:id="22"/>
    </w:p>
    <w:p w14:paraId="07AB8068">
      <w:r>
        <w:t>本报告为年度报告，涵盖时间范围为</w:t>
      </w:r>
      <w:r>
        <w:rPr>
          <w:highlight w:val="none"/>
        </w:rPr>
        <w:t>202</w:t>
      </w:r>
      <w:r>
        <w:rPr>
          <w:rFonts w:hint="eastAsia"/>
          <w:highlight w:val="none"/>
          <w:lang w:val="en-US" w:eastAsia="zh-CN"/>
        </w:rPr>
        <w:t>5</w:t>
      </w:r>
      <w:r>
        <w:rPr>
          <w:highlight w:val="none"/>
        </w:rPr>
        <w:t>年1月1日至202</w:t>
      </w:r>
      <w:r>
        <w:rPr>
          <w:rFonts w:hint="eastAsia"/>
          <w:highlight w:val="none"/>
          <w:lang w:val="en-US" w:eastAsia="zh-CN"/>
        </w:rPr>
        <w:t>5</w:t>
      </w:r>
      <w:r>
        <w:rPr>
          <w:highlight w:val="none"/>
        </w:rPr>
        <w:t>年12月31日</w:t>
      </w:r>
      <w:r>
        <w:t>。部分内容适当向前或往后年份延伸，将在所涉及处予以说明。</w:t>
      </w:r>
    </w:p>
    <w:p w14:paraId="5969BFBD">
      <w:pPr>
        <w:pStyle w:val="3"/>
        <w:ind w:firstLine="562"/>
        <w:rPr>
          <w:rFonts w:ascii="Times New Roman" w:hAnsi="Times New Roman"/>
        </w:rPr>
      </w:pPr>
      <w:bookmarkStart w:id="23" w:name="_Toc185362001"/>
      <w:bookmarkStart w:id="24" w:name="_Toc18910"/>
      <w:bookmarkStart w:id="25" w:name="_Toc19214"/>
      <w:bookmarkStart w:id="26" w:name="_Toc1155"/>
      <w:bookmarkStart w:id="27" w:name="_Toc12078"/>
      <w:bookmarkStart w:id="28" w:name="_Toc16721"/>
      <w:r>
        <w:rPr>
          <w:rFonts w:ascii="Times New Roman" w:hAnsi="Times New Roman"/>
        </w:rPr>
        <w:t>（二）参考标准</w:t>
      </w:r>
      <w:bookmarkEnd w:id="23"/>
    </w:p>
    <w:p w14:paraId="48EDAB13">
      <w:r>
        <w:t>全球报告倡议组织（Global Reporting Initiative, GRI）《可持续发展报告标准》（GRI Standards）</w:t>
      </w:r>
    </w:p>
    <w:p w14:paraId="60C8C394">
      <w:pPr>
        <w:pStyle w:val="3"/>
        <w:ind w:firstLine="562"/>
        <w:rPr>
          <w:rFonts w:ascii="Times New Roman" w:hAnsi="Times New Roman"/>
        </w:rPr>
      </w:pPr>
      <w:bookmarkStart w:id="29" w:name="_Toc185362002"/>
      <w:r>
        <w:rPr>
          <w:rFonts w:ascii="Times New Roman" w:hAnsi="Times New Roman"/>
        </w:rPr>
        <w:t>（三）报告范围</w:t>
      </w:r>
      <w:bookmarkEnd w:id="24"/>
      <w:bookmarkEnd w:id="25"/>
      <w:bookmarkEnd w:id="26"/>
      <w:bookmarkEnd w:id="27"/>
      <w:bookmarkEnd w:id="28"/>
      <w:bookmarkEnd w:id="29"/>
    </w:p>
    <w:p w14:paraId="1103F024">
      <w:r>
        <w:t>本报告披露信息范围涵盖河北宁强钢构集团有限公司，与合并财务报表范围一致。</w:t>
      </w:r>
    </w:p>
    <w:p w14:paraId="5F2053B7">
      <w:pPr>
        <w:pStyle w:val="3"/>
        <w:ind w:firstLine="562"/>
        <w:rPr>
          <w:rFonts w:ascii="Times New Roman" w:hAnsi="Times New Roman"/>
        </w:rPr>
      </w:pPr>
      <w:bookmarkStart w:id="30" w:name="_Toc31456"/>
      <w:bookmarkStart w:id="31" w:name="_Toc27776"/>
      <w:bookmarkStart w:id="32" w:name="_Toc30270"/>
      <w:bookmarkStart w:id="33" w:name="_Toc25286"/>
      <w:bookmarkStart w:id="34" w:name="_Toc3732"/>
      <w:bookmarkStart w:id="35" w:name="_Toc185362003"/>
      <w:r>
        <w:rPr>
          <w:rFonts w:ascii="Times New Roman" w:hAnsi="Times New Roman"/>
        </w:rPr>
        <w:t>（四）信息来源</w:t>
      </w:r>
      <w:bookmarkEnd w:id="30"/>
      <w:bookmarkEnd w:id="31"/>
      <w:bookmarkEnd w:id="32"/>
      <w:bookmarkEnd w:id="33"/>
      <w:bookmarkEnd w:id="34"/>
      <w:bookmarkEnd w:id="35"/>
    </w:p>
    <w:p w14:paraId="76388DFC">
      <w:r>
        <w:t>本报告披露信息均来自公司实际运行的原始记录或财务报告，同时兼顾公司发展重点与利益相关方关注。</w:t>
      </w:r>
    </w:p>
    <w:p w14:paraId="72ABFC12">
      <w:pPr>
        <w:pStyle w:val="3"/>
        <w:ind w:firstLine="562"/>
        <w:rPr>
          <w:rFonts w:ascii="Times New Roman" w:hAnsi="Times New Roman"/>
        </w:rPr>
      </w:pPr>
      <w:bookmarkStart w:id="36" w:name="_Toc185362004"/>
      <w:r>
        <w:rPr>
          <w:rFonts w:ascii="Times New Roman" w:hAnsi="Times New Roman"/>
        </w:rPr>
        <w:t>（五）称谓说明</w:t>
      </w:r>
      <w:bookmarkEnd w:id="36"/>
    </w:p>
    <w:p w14:paraId="4AF244BC">
      <w:r>
        <w:t>为便于表述，本报告使用“河北宁强”“公司”指代河北宁强钢构集团有限公司</w:t>
      </w:r>
      <w:r>
        <w:rPr>
          <w:lang w:bidi="ar"/>
        </w:rPr>
        <w:t>。</w:t>
      </w:r>
    </w:p>
    <w:p w14:paraId="4B43C66C">
      <w:pPr>
        <w:pStyle w:val="3"/>
        <w:ind w:firstLine="562"/>
        <w:rPr>
          <w:rFonts w:ascii="Times New Roman" w:hAnsi="Times New Roman"/>
        </w:rPr>
      </w:pPr>
      <w:bookmarkStart w:id="37" w:name="_Toc185362005"/>
      <w:r>
        <w:rPr>
          <w:rFonts w:ascii="Times New Roman" w:hAnsi="Times New Roman"/>
        </w:rPr>
        <w:t>（六）联系方式</w:t>
      </w:r>
      <w:bookmarkEnd w:id="37"/>
    </w:p>
    <w:p w14:paraId="02200D2E">
      <w:r>
        <w:t xml:space="preserve">公司十分重视利益相关方的意见，欢迎各利益相关方通过以下方式发表意见，协助公司完善本报告，提升整体可持续发展表现。 </w:t>
      </w:r>
    </w:p>
    <w:p w14:paraId="22A65F6D">
      <w:r>
        <w:t>联系邮箱：xinxin@ningqianggs.com</w:t>
      </w:r>
    </w:p>
    <w:p w14:paraId="63A7978A">
      <w:r>
        <w:t>联系电话：0318-2172981</w:t>
      </w:r>
    </w:p>
    <w:p w14:paraId="2F6D69CB">
      <w:pPr>
        <w:rPr>
          <w:rFonts w:eastAsia="黑体"/>
          <w:sz w:val="32"/>
          <w:szCs w:val="32"/>
        </w:rPr>
      </w:pPr>
      <w:bookmarkStart w:id="38" w:name="_Toc7422"/>
      <w:bookmarkStart w:id="39" w:name="_Toc9587"/>
      <w:r>
        <w:t>联系地址：</w:t>
      </w:r>
      <w:bookmarkEnd w:id="38"/>
      <w:bookmarkEnd w:id="39"/>
      <w:r>
        <w:rPr>
          <w:rFonts w:hint="eastAsia"/>
        </w:rPr>
        <w:t>河北省衡水市高新区滏阳三路西侧、新区六路北侧</w:t>
      </w:r>
    </w:p>
    <w:p w14:paraId="1380505D">
      <w:r>
        <w:br w:type="page"/>
      </w:r>
    </w:p>
    <w:p w14:paraId="3C97BB6E">
      <w:pPr>
        <w:pStyle w:val="2"/>
        <w:ind w:left="560"/>
      </w:pPr>
      <w:bookmarkStart w:id="40" w:name="_Toc185362006"/>
      <w:r>
        <w:t>关于河北宁强</w:t>
      </w:r>
      <w:bookmarkEnd w:id="40"/>
    </w:p>
    <w:p w14:paraId="6128620B">
      <w:pPr>
        <w:rPr>
          <w:lang w:bidi="ar"/>
        </w:rPr>
      </w:pPr>
      <w:r>
        <w:rPr>
          <w:rFonts w:hint="eastAsia"/>
          <w:lang w:bidi="ar"/>
        </w:rPr>
        <w:t>河北宁强钢构集团有限公司成立于1983年，注册资金人民币1.105亿元，总占地面积 1000 亩，下属十个分公司，已经形成输电线路钢管杆（塔）、铁塔、变电架构、通讯塔、风力发电塔筒、市政道路景观照明、热浸锌设备防腐、光源等八大产品系列。公司既是电网公司和发电集团的优质供应商，亦是华北最大的专业生产杆塔、照明设施的著名企业，拥有很高的知名度和美誉度。公司积极发展新质生产力，以新提质，以质促新。坚持以科技为第一生产力的经营思想，努力立于行业发展的前沿、通过不断创新，成为了能够自主设计研发的行业领头人。</w:t>
      </w:r>
    </w:p>
    <w:p w14:paraId="654621A0">
      <w:pPr>
        <w:rPr>
          <w:lang w:bidi="ar"/>
        </w:rPr>
      </w:pPr>
      <w:r>
        <w:rPr>
          <w:rFonts w:hint="eastAsia"/>
          <w:lang w:bidi="ar"/>
        </w:rPr>
        <w:t>经过四十年的发展，公司先后获得国家专利</w:t>
      </w:r>
      <w:r>
        <w:rPr>
          <w:rFonts w:hint="eastAsia"/>
          <w:lang w:eastAsia="zh-CN" w:bidi="ar"/>
        </w:rPr>
        <w:t>二十二</w:t>
      </w:r>
      <w:r>
        <w:rPr>
          <w:rFonts w:hint="eastAsia"/>
          <w:lang w:bidi="ar"/>
        </w:rPr>
        <w:t>项，被评为河北省高新技术企业、明星企业、百强企业、名牌商标企业，通过了管理体系认证，在行业内较早的取得了相应产品的合格证和检测报告等资质证书。</w:t>
      </w:r>
    </w:p>
    <w:p w14:paraId="4E84EAF7">
      <w:pPr>
        <w:rPr>
          <w:lang w:bidi="ar"/>
        </w:rPr>
      </w:pPr>
      <w:r>
        <w:rPr>
          <w:rFonts w:hint="eastAsia"/>
          <w:lang w:bidi="ar"/>
        </w:rPr>
        <w:t>公司位于华北平原腹地河北省衡水市，座落在衡水市高新技术产业开发区，毗邻衡水湖畔，风景优美，京九、石德铁路从衡水纵横穿越，交通便利，毗邻大广高速、京九铁路、石太铁路交通地理位置优越。公司自创立以来，始终以服务社会为己任，立足于市场和时代的发展。</w:t>
      </w:r>
    </w:p>
    <w:p w14:paraId="5C36D886">
      <w:pPr>
        <w:rPr>
          <w:lang w:bidi="ar"/>
        </w:rPr>
      </w:pPr>
      <w:r>
        <w:rPr>
          <w:rFonts w:hint="eastAsia"/>
          <w:lang w:bidi="ar"/>
        </w:rPr>
        <w:t>为顺应市场需求，公司不断扩大生产规模，现拥有大型双联动液压机、数控火焰切割机、数控相贯式线切割机、三辊卷板机、直管-法兰焊接生产线、角钢生产线、自动埋弧焊机、激光切割设备、等现代化与自动化钢结构加工设备，年加工能</w:t>
      </w:r>
      <w:r>
        <w:rPr>
          <w:rFonts w:hint="eastAsia"/>
          <w:highlight w:val="none"/>
          <w:lang w:bidi="ar"/>
        </w:rPr>
        <w:t>力</w:t>
      </w:r>
      <w:r>
        <w:rPr>
          <w:rFonts w:hint="eastAsia"/>
          <w:highlight w:val="none"/>
          <w:lang w:val="en-US" w:eastAsia="zh-CN" w:bidi="ar"/>
        </w:rPr>
        <w:t>30</w:t>
      </w:r>
      <w:r>
        <w:rPr>
          <w:rFonts w:hint="eastAsia"/>
          <w:lang w:bidi="ar"/>
        </w:rPr>
        <w:t>万吨。公司擅长自主研发拥有自己的试验研究所，实验室通过了国家认可实验室CNAS（中国合格评定国家认可委员会）及国际知名实验室荷兰凯玛KEMA等双认证。现已发展成为具有强大实力的综合性企业。</w:t>
      </w:r>
    </w:p>
    <w:p w14:paraId="3F1D81DE">
      <w:pPr>
        <w:rPr>
          <w:lang w:bidi="ar"/>
        </w:rPr>
      </w:pPr>
      <w:r>
        <w:rPr>
          <w:rFonts w:hint="eastAsia"/>
          <w:lang w:bidi="ar"/>
        </w:rPr>
        <w:t>公司践行绿色生产的理念，于2013年初开始筹建镀锌厂项目，该项目经过衡水市经济开发区发展改革局审核同意并备案。厂名为衡水盛强电力设备有限公司，是公司注资的的全资子公司，镀锌厂区占地 200 亩，现已建设镀锌车间 10000 平米，仓储平台 65000 平米，先后建成长 13.6 米×宽 2.3 米×深 3.2 米、 13.6 米×宽 1.8 米×深 2.8 米镀锌锅，镀锌年产能为 10 万吨。</w:t>
      </w:r>
    </w:p>
    <w:p w14:paraId="74E02F84">
      <w:pPr>
        <w:rPr>
          <w:rFonts w:eastAsia="黑体"/>
          <w:sz w:val="32"/>
          <w:szCs w:val="32"/>
        </w:rPr>
      </w:pPr>
      <w:bookmarkStart w:id="41" w:name="_Hlk185363446"/>
      <w:r>
        <w:rPr>
          <w:rFonts w:hint="eastAsia"/>
          <w:lang w:bidi="ar"/>
        </w:rPr>
        <w:t>面对新的市场和新的契机，河北宁强钢构集团有限公司希望与各界同仁携手共进，共创美好明天！</w:t>
      </w:r>
      <w:bookmarkEnd w:id="41"/>
      <w:r>
        <w:rPr>
          <w:rFonts w:eastAsia="黑体"/>
          <w:sz w:val="32"/>
          <w:szCs w:val="32"/>
        </w:rPr>
        <w:br w:type="page"/>
      </w:r>
    </w:p>
    <w:p w14:paraId="578BE186">
      <w:pPr>
        <w:pStyle w:val="2"/>
        <w:ind w:left="560"/>
      </w:pPr>
      <w:bookmarkStart w:id="42" w:name="_Toc185362007"/>
      <w:r>
        <w:t>环境篇：</w:t>
      </w:r>
      <w:r>
        <w:fldChar w:fldCharType="begin"/>
      </w:r>
      <w:r>
        <w:instrText xml:space="preserve"> HYPERLINK \l "_Toc11155" </w:instrText>
      </w:r>
      <w:r>
        <w:fldChar w:fldCharType="separate"/>
      </w:r>
      <w:r>
        <w:t>低碳环保 守护生态之叶</w:t>
      </w:r>
      <w:bookmarkEnd w:id="42"/>
    </w:p>
    <w:p w14:paraId="2C57B436">
      <w:pPr>
        <w:pStyle w:val="3"/>
        <w:ind w:firstLine="562"/>
        <w:rPr>
          <w:rFonts w:ascii="Times New Roman" w:hAnsi="Times New Roman"/>
        </w:rPr>
      </w:pPr>
      <w:r>
        <w:rPr>
          <w:rFonts w:ascii="Times New Roman" w:hAnsi="Times New Roman"/>
        </w:rPr>
        <w:fldChar w:fldCharType="end"/>
      </w:r>
      <w:bookmarkStart w:id="43" w:name="_Toc26471"/>
      <w:bookmarkStart w:id="44" w:name="_Toc185362008"/>
      <w:r>
        <w:rPr>
          <w:rFonts w:ascii="Times New Roman" w:hAnsi="Times New Roman"/>
        </w:rPr>
        <w:t>（一）环境管理</w:t>
      </w:r>
      <w:bookmarkEnd w:id="43"/>
      <w:r>
        <w:rPr>
          <w:rFonts w:ascii="Times New Roman" w:hAnsi="Times New Roman"/>
        </w:rPr>
        <w:t>体系</w:t>
      </w:r>
      <w:bookmarkEnd w:id="44"/>
    </w:p>
    <w:p w14:paraId="3BA94FFD">
      <w:pPr>
        <w:rPr>
          <w:lang w:bidi="ar"/>
        </w:rPr>
      </w:pPr>
      <w:r>
        <w:rPr>
          <w:lang w:bidi="ar"/>
        </w:rPr>
        <w:t>环境管理是绿色实践的基础指导。河北宁强严格遵守《中华人民共和国环境保护法》《中华人民共和国水污染防治法》等法律法规，制定</w:t>
      </w:r>
      <w:r>
        <w:rPr>
          <w:rFonts w:hint="eastAsia"/>
          <w:lang w:bidi="ar"/>
        </w:rPr>
        <w:t>《河北宁强钢构集团管理制度》</w:t>
      </w:r>
      <w:r>
        <w:rPr>
          <w:lang w:bidi="ar"/>
        </w:rPr>
        <w:t>等内部规章，明确环保责任，规范设备管理，重视环保培训，紧盯环保监测，落实监督考核，持续完善环境管理顶层设计。</w:t>
      </w:r>
    </w:p>
    <w:p w14:paraId="696E649D">
      <w:pPr>
        <w:rPr>
          <w:lang w:bidi="ar"/>
        </w:rPr>
      </w:pPr>
      <w:r>
        <w:rPr>
          <w:lang w:bidi="ar"/>
        </w:rPr>
        <w:t>河北宁强制定了明确的环境政策，承诺在生产经营过程中尽可能减少对环境的负面影响。公司设立了具体的环境目标，包括减少污染物排放、提高资源利用效率、推进节能降耗等方面。每年，公司都会对环境目标的完成情况进行评估和审查，确保各项措施有效落实。</w:t>
      </w:r>
    </w:p>
    <w:p w14:paraId="4B16D4B8">
      <w:pPr>
        <w:rPr>
          <w:lang w:bidi="ar"/>
        </w:rPr>
      </w:pPr>
      <w:r>
        <w:rPr>
          <w:lang w:bidi="ar"/>
        </w:rPr>
        <w:t>公司建立了全面的环境风险管理体系，通过识别、评估和控制环境风险，预防和减少环境事故的发生。公司制定了详细的环境应急预案，定期开展应急演练，提升员工应对环境突发事件的能力。公司还加强对环境风险的监控和管理，确保在生产和经营过程中不发生重大环境污染事件。河北宁强在生产过程中积极推行清洁生产，采用先进的工艺和设备，减少资源和能源的消耗。公司注重废水、废气和固体废弃物的处理，确保排放达到国家和地方的环保标准。公司还积极开展废物回收和资源再利用，努力实现循环经济和资源节约。</w:t>
      </w:r>
    </w:p>
    <w:p w14:paraId="45EB7015">
      <w:pPr>
        <w:keepNext w:val="0"/>
        <w:keepLines w:val="0"/>
        <w:widowControl/>
        <w:suppressLineNumbers w:val="0"/>
        <w:jc w:val="left"/>
        <w:rPr>
          <w:lang w:bidi="ar"/>
        </w:rPr>
      </w:pPr>
      <w:r>
        <w:rPr>
          <w:highlight w:val="none"/>
          <w:lang w:bidi="ar"/>
        </w:rPr>
        <w:t>公司已获得GB/T 24001-2016/ISO 14001:2015环境管理体系认证（有效期自20</w:t>
      </w:r>
      <w:r>
        <w:rPr>
          <w:rFonts w:hint="eastAsia"/>
          <w:highlight w:val="none"/>
          <w:lang w:bidi="ar"/>
        </w:rPr>
        <w:t>2</w:t>
      </w:r>
      <w:r>
        <w:rPr>
          <w:rFonts w:hint="eastAsia"/>
          <w:highlight w:val="none"/>
          <w:lang w:val="en-US" w:eastAsia="zh-CN" w:bidi="ar"/>
        </w:rPr>
        <w:t>4</w:t>
      </w:r>
      <w:r>
        <w:rPr>
          <w:highlight w:val="none"/>
          <w:lang w:bidi="ar"/>
        </w:rPr>
        <w:t>年0</w:t>
      </w:r>
      <w:r>
        <w:rPr>
          <w:rFonts w:hint="eastAsia"/>
          <w:highlight w:val="none"/>
          <w:lang w:bidi="ar"/>
        </w:rPr>
        <w:t>8</w:t>
      </w:r>
      <w:r>
        <w:rPr>
          <w:highlight w:val="none"/>
          <w:lang w:bidi="ar"/>
        </w:rPr>
        <w:t>月</w:t>
      </w:r>
      <w:r>
        <w:rPr>
          <w:rFonts w:hint="eastAsia"/>
          <w:highlight w:val="none"/>
          <w:lang w:bidi="ar"/>
        </w:rPr>
        <w:t>2</w:t>
      </w:r>
      <w:r>
        <w:rPr>
          <w:rFonts w:hint="eastAsia"/>
          <w:highlight w:val="none"/>
          <w:lang w:val="en-US" w:eastAsia="zh-CN" w:bidi="ar"/>
        </w:rPr>
        <w:t>3</w:t>
      </w:r>
      <w:r>
        <w:rPr>
          <w:highlight w:val="none"/>
          <w:lang w:bidi="ar"/>
        </w:rPr>
        <w:t>日至202</w:t>
      </w:r>
      <w:r>
        <w:rPr>
          <w:rFonts w:hint="eastAsia"/>
          <w:highlight w:val="none"/>
          <w:lang w:val="en-US" w:eastAsia="zh-CN" w:bidi="ar"/>
        </w:rPr>
        <w:t>7</w:t>
      </w:r>
      <w:r>
        <w:rPr>
          <w:highlight w:val="none"/>
          <w:lang w:bidi="ar"/>
        </w:rPr>
        <w:t>年0</w:t>
      </w:r>
      <w:r>
        <w:rPr>
          <w:rFonts w:hint="eastAsia"/>
          <w:highlight w:val="none"/>
          <w:lang w:bidi="ar"/>
        </w:rPr>
        <w:t>8</w:t>
      </w:r>
      <w:r>
        <w:rPr>
          <w:highlight w:val="none"/>
          <w:lang w:bidi="ar"/>
        </w:rPr>
        <w:t>月</w:t>
      </w:r>
      <w:r>
        <w:rPr>
          <w:rFonts w:hint="eastAsia"/>
          <w:highlight w:val="none"/>
          <w:lang w:bidi="ar"/>
        </w:rPr>
        <w:t>2</w:t>
      </w:r>
      <w:r>
        <w:rPr>
          <w:rFonts w:hint="eastAsia"/>
          <w:highlight w:val="none"/>
          <w:lang w:val="en-US" w:eastAsia="zh-CN" w:bidi="ar"/>
        </w:rPr>
        <w:t>2</w:t>
      </w:r>
      <w:r>
        <w:rPr>
          <w:highlight w:val="none"/>
          <w:lang w:bidi="ar"/>
        </w:rPr>
        <w:t>日），</w:t>
      </w:r>
      <w:r>
        <w:rPr>
          <w:lang w:bidi="ar"/>
        </w:rPr>
        <w:t>认证范围覆盖</w:t>
      </w:r>
      <w:r>
        <w:rPr>
          <w:rFonts w:hint="eastAsia" w:ascii="宋体" w:hAnsi="宋体" w:eastAsia="宋体" w:cs="宋体"/>
          <w:b w:val="0"/>
          <w:bCs w:val="0"/>
          <w:color w:val="000000"/>
          <w:kern w:val="0"/>
          <w:sz w:val="28"/>
          <w:szCs w:val="28"/>
          <w:lang w:val="en-US" w:eastAsia="zh-CN" w:bidi="ar"/>
        </w:rPr>
        <w:t>输电线路铁塔、钢管塔、钢管杆、变电站构支架；铁附件（横担、抱箍、拉线棒、顶架、 接地铁、拉攀）；地脚螺栓；风力发电机塔架；微波通信塔；波纹涵管；照明设施 （高杆灯、路灯、空心阴极灯、庭院灯的灯杆）及钢结构件的制造涉及的环境管理活动</w:t>
      </w:r>
      <w:r>
        <w:rPr>
          <w:b w:val="0"/>
          <w:bCs w:val="0"/>
          <w:lang w:bidi="ar"/>
        </w:rPr>
        <w:t>，</w:t>
      </w:r>
      <w:r>
        <w:rPr>
          <w:lang w:bidi="ar"/>
        </w:rPr>
        <w:t>并通过第三方机构监督审核，保障管理体系有效运转。</w:t>
      </w:r>
    </w:p>
    <w:p w14:paraId="7437BC47">
      <w:pPr>
        <w:jc w:val="center"/>
      </w:pPr>
      <w:r>
        <w:drawing>
          <wp:inline distT="0" distB="0" distL="114300" distR="114300">
            <wp:extent cx="2735580" cy="3895090"/>
            <wp:effectExtent l="0" t="0" r="762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735580" cy="3895090"/>
                    </a:xfrm>
                    <a:prstGeom prst="rect">
                      <a:avLst/>
                    </a:prstGeom>
                    <a:noFill/>
                    <a:ln>
                      <a:noFill/>
                    </a:ln>
                  </pic:spPr>
                </pic:pic>
              </a:graphicData>
            </a:graphic>
          </wp:inline>
        </w:drawing>
      </w:r>
    </w:p>
    <w:p w14:paraId="193EEA27">
      <w:pPr>
        <w:pStyle w:val="15"/>
      </w:pPr>
      <w:bookmarkStart w:id="45" w:name="_Hlk172015597"/>
      <w:r>
        <w:t>环境管理体系认证证书</w:t>
      </w:r>
    </w:p>
    <w:bookmarkEnd w:id="45"/>
    <w:p w14:paraId="06CDEE62">
      <w:pPr>
        <w:pStyle w:val="3"/>
        <w:ind w:firstLine="562"/>
        <w:rPr>
          <w:rFonts w:ascii="Times New Roman" w:hAnsi="Times New Roman"/>
        </w:rPr>
      </w:pPr>
      <w:bookmarkStart w:id="46" w:name="_Toc185362009"/>
      <w:r>
        <w:rPr>
          <w:rFonts w:ascii="Times New Roman" w:hAnsi="Times New Roman"/>
        </w:rPr>
        <w:t>（</w:t>
      </w:r>
      <w:r>
        <w:rPr>
          <w:rFonts w:hint="eastAsia" w:ascii="Times New Roman" w:hAnsi="Times New Roman"/>
        </w:rPr>
        <w:t>二</w:t>
      </w:r>
      <w:r>
        <w:rPr>
          <w:rFonts w:ascii="Times New Roman" w:hAnsi="Times New Roman"/>
        </w:rPr>
        <w:t>）能源资源使用</w:t>
      </w:r>
      <w:bookmarkEnd w:id="46"/>
    </w:p>
    <w:p w14:paraId="253ED51C">
      <w:r>
        <w:t>能源资源是经济和社会发展的重要物质基础。河北宁强高度重视能源资源管理，公司在能源资源使用方面采取了一系列有效措施，</w:t>
      </w:r>
      <w:r>
        <w:rPr>
          <w:rFonts w:hint="eastAsia"/>
        </w:rPr>
        <w:t>并积极参与能源管理体系审核</w:t>
      </w:r>
      <w:r>
        <w:t>，</w:t>
      </w:r>
      <w:r>
        <w:rPr>
          <w:rFonts w:hint="eastAsia"/>
        </w:rPr>
        <w:t>响应国家有关政策，</w:t>
      </w:r>
      <w:r>
        <w:t>致力于提高能源效率和优化水资源管理。通过科学管理和技术创新，公司努力减少能源消耗和水资源浪费，实现绿色发展和可持续发展目标，将资源节约理念融入生产运营全环节，提高资源利用效率，降低资源消耗，积极创建资源节约型企业。</w:t>
      </w:r>
    </w:p>
    <w:p w14:paraId="76824CCA">
      <w:pPr>
        <w:pStyle w:val="4"/>
        <w:spacing w:before="31" w:after="31"/>
        <w:ind w:firstLine="562"/>
      </w:pPr>
      <w:bookmarkStart w:id="47" w:name="_Toc185362010"/>
      <w:r>
        <w:rPr>
          <w:rFonts w:hint="eastAsia"/>
        </w:rPr>
        <w:t>1.</w:t>
      </w:r>
      <w:r>
        <w:t>能源管理</w:t>
      </w:r>
      <w:bookmarkEnd w:id="47"/>
    </w:p>
    <w:p w14:paraId="7FC8D55E">
      <w:r>
        <w:t>公司主要用能种类涉及电力和柴油等，耗能工质主要是水。公司高度重视能源管理，</w:t>
      </w:r>
      <w:r>
        <w:rPr>
          <w:rFonts w:hint="eastAsia"/>
        </w:rPr>
        <w:t>执行</w:t>
      </w:r>
      <w:r>
        <w:t>《节约能源管理制度》《节约能源举措》等能源管理政策和目标，涵盖能源使用、节能措施和能源效率提升等方面。为了减少能源消耗，公司积极采用节能技术和设备。在生产过程中，公司引进了高效节能的生产设备和工艺，优化生产流程，减少能源浪费。此外，公司还在办公区域推行节能措施，如使用节能灯具、优化空调系统和鼓励员工养成节约用电的习惯。</w:t>
      </w:r>
    </w:p>
    <w:p w14:paraId="7F2DFD8A">
      <w:pPr>
        <w:rPr>
          <w:highlight w:val="none"/>
        </w:rPr>
      </w:pPr>
      <w:r>
        <w:t>公司严格遵守国家和地方政府关于能源管理的相关法律法规，如《中华人民共和国节约能源法》《清洁生产促进法》等，</w:t>
      </w:r>
      <w:r>
        <w:rPr>
          <w:rFonts w:hint="eastAsia"/>
        </w:rPr>
        <w:t>并</w:t>
      </w:r>
      <w:r>
        <w:t>积极</w:t>
      </w:r>
      <w:r>
        <w:rPr>
          <w:rFonts w:hint="eastAsia"/>
        </w:rPr>
        <w:t>响应国家绿证政策</w:t>
      </w:r>
      <w:r>
        <w:t>。</w:t>
      </w:r>
      <w:r>
        <w:rPr>
          <w:rFonts w:hint="eastAsia"/>
        </w:rPr>
        <w:t>报告期内，</w:t>
      </w:r>
      <w:bookmarkStart w:id="101" w:name="_GoBack"/>
      <w:r>
        <w:rPr>
          <w:rFonts w:hint="eastAsia"/>
          <w:highlight w:val="none"/>
        </w:rPr>
        <w:t>公司</w:t>
      </w:r>
      <w:r>
        <w:rPr>
          <w:rFonts w:hint="eastAsia"/>
          <w:highlight w:val="none"/>
          <w:lang w:eastAsia="zh-CN"/>
        </w:rPr>
        <w:t>已累计产生</w:t>
      </w:r>
      <w:r>
        <w:rPr>
          <w:rFonts w:hint="eastAsia"/>
          <w:highlight w:val="none"/>
        </w:rPr>
        <w:t>绿色电力证书交易凭证100</w:t>
      </w:r>
      <w:r>
        <w:rPr>
          <w:rFonts w:hint="eastAsia"/>
          <w:highlight w:val="none"/>
          <w:lang w:val="en-US" w:eastAsia="zh-CN"/>
        </w:rPr>
        <w:t>4000</w:t>
      </w:r>
      <w:r>
        <w:rPr>
          <w:rFonts w:hint="eastAsia"/>
          <w:highlight w:val="none"/>
          <w:lang w:eastAsia="zh-CN"/>
        </w:rPr>
        <w:t>千</w:t>
      </w:r>
      <w:r>
        <w:rPr>
          <w:rFonts w:hint="eastAsia"/>
          <w:highlight w:val="none"/>
        </w:rPr>
        <w:t>瓦时。</w:t>
      </w:r>
    </w:p>
    <w:bookmarkEnd w:id="101"/>
    <w:p w14:paraId="1A7F5DE1">
      <w:pPr>
        <w:jc w:val="center"/>
      </w:pPr>
      <w:r>
        <w:drawing>
          <wp:inline distT="0" distB="0" distL="114300" distR="114300">
            <wp:extent cx="3750945" cy="5039995"/>
            <wp:effectExtent l="0" t="0" r="190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3750945" cy="5039995"/>
                    </a:xfrm>
                    <a:prstGeom prst="rect">
                      <a:avLst/>
                    </a:prstGeom>
                    <a:noFill/>
                    <a:ln>
                      <a:noFill/>
                    </a:ln>
                  </pic:spPr>
                </pic:pic>
              </a:graphicData>
            </a:graphic>
          </wp:inline>
        </w:drawing>
      </w:r>
    </w:p>
    <w:p w14:paraId="6FB12F99">
      <w:pPr>
        <w:pStyle w:val="15"/>
      </w:pPr>
      <w:r>
        <w:rPr>
          <w:rFonts w:hint="eastAsia"/>
        </w:rPr>
        <w:t>绿色电力证书交易凭证</w:t>
      </w:r>
    </w:p>
    <w:p w14:paraId="2264A25A">
      <w:r>
        <w:t>公司还通过开展节能宣传和培训，提高员工的节能意识和能力。公司定期组织节能知识讲座和培训，鼓励员工提出节能改进建议，并对节能效果显著的部门和个人进行表彰和奖励，营造全员参与节能的良好氛围。</w:t>
      </w:r>
    </w:p>
    <w:p w14:paraId="55F484F0">
      <w:r>
        <w:rPr>
          <w:lang w:bidi="ar"/>
        </w:rPr>
        <w:t>公司</w:t>
      </w:r>
      <w:r>
        <w:rPr>
          <w:rFonts w:hint="eastAsia"/>
          <w:lang w:bidi="ar"/>
        </w:rPr>
        <w:t>积极开展能源管理体系审核，并</w:t>
      </w:r>
      <w:r>
        <w:rPr>
          <w:lang w:bidi="ar"/>
        </w:rPr>
        <w:t xml:space="preserve">获得GB/T </w:t>
      </w:r>
      <w:r>
        <w:rPr>
          <w:rFonts w:hint="eastAsia"/>
          <w:lang w:bidi="ar"/>
        </w:rPr>
        <w:t>23331</w:t>
      </w:r>
      <w:r>
        <w:rPr>
          <w:lang w:bidi="ar"/>
        </w:rPr>
        <w:t>-20</w:t>
      </w:r>
      <w:r>
        <w:rPr>
          <w:rFonts w:hint="eastAsia"/>
          <w:lang w:bidi="ar"/>
        </w:rPr>
        <w:t>20</w:t>
      </w:r>
      <w:r>
        <w:rPr>
          <w:lang w:bidi="ar"/>
        </w:rPr>
        <w:t xml:space="preserve">/ISO </w:t>
      </w:r>
      <w:r>
        <w:rPr>
          <w:rFonts w:hint="eastAsia"/>
          <w:lang w:bidi="ar"/>
        </w:rPr>
        <w:t>5</w:t>
      </w:r>
      <w:r>
        <w:rPr>
          <w:lang w:bidi="ar"/>
        </w:rPr>
        <w:t>0</w:t>
      </w:r>
      <w:r>
        <w:rPr>
          <w:rFonts w:hint="eastAsia"/>
          <w:lang w:bidi="ar"/>
        </w:rPr>
        <w:t>0</w:t>
      </w:r>
      <w:r>
        <w:rPr>
          <w:lang w:bidi="ar"/>
        </w:rPr>
        <w:t>01:20</w:t>
      </w:r>
      <w:r>
        <w:rPr>
          <w:rFonts w:hint="eastAsia"/>
          <w:lang w:bidi="ar"/>
        </w:rPr>
        <w:t>18能源</w:t>
      </w:r>
      <w:r>
        <w:rPr>
          <w:lang w:bidi="ar"/>
        </w:rPr>
        <w:t>管理体系认证（有效期自20</w:t>
      </w:r>
      <w:r>
        <w:rPr>
          <w:rFonts w:hint="eastAsia"/>
          <w:lang w:bidi="ar"/>
        </w:rPr>
        <w:t>24</w:t>
      </w:r>
      <w:r>
        <w:rPr>
          <w:lang w:bidi="ar"/>
        </w:rPr>
        <w:t>年0</w:t>
      </w:r>
      <w:r>
        <w:rPr>
          <w:rFonts w:hint="eastAsia"/>
          <w:lang w:bidi="ar"/>
        </w:rPr>
        <w:t>7</w:t>
      </w:r>
      <w:r>
        <w:rPr>
          <w:lang w:bidi="ar"/>
        </w:rPr>
        <w:t>月</w:t>
      </w:r>
      <w:r>
        <w:rPr>
          <w:rFonts w:hint="eastAsia"/>
          <w:lang w:bidi="ar"/>
        </w:rPr>
        <w:t>08</w:t>
      </w:r>
      <w:r>
        <w:rPr>
          <w:lang w:bidi="ar"/>
        </w:rPr>
        <w:t>日至202</w:t>
      </w:r>
      <w:r>
        <w:rPr>
          <w:rFonts w:hint="eastAsia"/>
          <w:lang w:bidi="ar"/>
        </w:rPr>
        <w:t>7</w:t>
      </w:r>
      <w:r>
        <w:rPr>
          <w:lang w:bidi="ar"/>
        </w:rPr>
        <w:t>年0</w:t>
      </w:r>
      <w:r>
        <w:rPr>
          <w:rFonts w:hint="eastAsia"/>
          <w:lang w:bidi="ar"/>
        </w:rPr>
        <w:t>7</w:t>
      </w:r>
      <w:r>
        <w:rPr>
          <w:lang w:bidi="ar"/>
        </w:rPr>
        <w:t>月</w:t>
      </w:r>
      <w:r>
        <w:rPr>
          <w:rFonts w:hint="eastAsia"/>
          <w:lang w:bidi="ar"/>
        </w:rPr>
        <w:t>07</w:t>
      </w:r>
      <w:r>
        <w:rPr>
          <w:lang w:bidi="ar"/>
        </w:rPr>
        <w:t>日）</w:t>
      </w:r>
      <w:r>
        <w:rPr>
          <w:rFonts w:hint="eastAsia"/>
          <w:lang w:bidi="ar"/>
        </w:rPr>
        <w:t>。</w:t>
      </w:r>
    </w:p>
    <w:p w14:paraId="09B51D0E">
      <w:pPr>
        <w:jc w:val="center"/>
      </w:pPr>
      <w:r>
        <w:drawing>
          <wp:inline distT="0" distB="0" distL="0" distR="0">
            <wp:extent cx="3658870" cy="5039995"/>
            <wp:effectExtent l="0" t="0" r="17780" b="8255"/>
            <wp:docPr id="1894033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33242" name="图片 1"/>
                    <pic:cNvPicPr>
                      <a:picLocks noChangeAspect="1"/>
                    </pic:cNvPicPr>
                  </pic:nvPicPr>
                  <pic:blipFill>
                    <a:blip r:embed="rId17"/>
                    <a:stretch>
                      <a:fillRect/>
                    </a:stretch>
                  </pic:blipFill>
                  <pic:spPr>
                    <a:xfrm>
                      <a:off x="0" y="0"/>
                      <a:ext cx="3658870" cy="5039995"/>
                    </a:xfrm>
                    <a:prstGeom prst="rect">
                      <a:avLst/>
                    </a:prstGeom>
                  </pic:spPr>
                </pic:pic>
              </a:graphicData>
            </a:graphic>
          </wp:inline>
        </w:drawing>
      </w:r>
    </w:p>
    <w:p w14:paraId="04286B12">
      <w:pPr>
        <w:pStyle w:val="15"/>
      </w:pPr>
      <w:r>
        <w:rPr>
          <w:rFonts w:hint="eastAsia"/>
        </w:rPr>
        <w:t>能源管理体系证书</w:t>
      </w:r>
    </w:p>
    <w:p w14:paraId="1DA041DF">
      <w:pPr>
        <w:pStyle w:val="4"/>
        <w:spacing w:before="31" w:after="31"/>
        <w:ind w:firstLine="562"/>
      </w:pPr>
      <w:bookmarkStart w:id="48" w:name="_Toc185362011"/>
      <w:r>
        <w:t>2.水资源管理</w:t>
      </w:r>
      <w:bookmarkEnd w:id="48"/>
    </w:p>
    <w:p w14:paraId="280BC18F">
      <w:r>
        <w:t>在水资源管理方面，河北宁强同样采取了系统化和科学化的管理措施。公司</w:t>
      </w:r>
      <w:r>
        <w:rPr>
          <w:rFonts w:hint="eastAsia"/>
        </w:rPr>
        <w:t>通过</w:t>
      </w:r>
      <w:r>
        <w:t>制定水资源管理制度和节水目标，</w:t>
      </w:r>
      <w:r>
        <w:rPr>
          <w:rFonts w:hint="eastAsia"/>
        </w:rPr>
        <w:t>并</w:t>
      </w:r>
      <w:r>
        <w:t>技术改进和管理优化，有效减少水资源的消耗和浪费。</w:t>
      </w:r>
    </w:p>
    <w:p w14:paraId="660D519B">
      <w:r>
        <w:t>公司在生产过程中采用了先进的节水技术和设备，优化用水工艺，减少水资源的使用。公司同样重视员工的节水意识培养，通过开展节水宣传和教育活动，提高员工的节水意识和行为习惯。公司鼓励员工积极参与节水实践，为公司的节水目标贡献力量。</w:t>
      </w:r>
    </w:p>
    <w:p w14:paraId="28008C2A">
      <w:r>
        <w:t>河北宁强将继续致力于能源和水资源的高效利用，不断提升资源管理水平。公司后续将进一步加大节能和节水技术的研发和应用力度，优化管理措施，实现能源资源的可持续利用。公司相信，通过持续的努力和创新，能够为环境保护和可持续发展做出更大贡献。</w:t>
      </w:r>
    </w:p>
    <w:p w14:paraId="380DED77">
      <w:pPr>
        <w:pStyle w:val="3"/>
        <w:ind w:firstLine="562"/>
        <w:rPr>
          <w:rFonts w:ascii="Times New Roman" w:hAnsi="Times New Roman"/>
        </w:rPr>
      </w:pPr>
      <w:bookmarkStart w:id="49" w:name="_Toc185362012"/>
      <w:r>
        <w:rPr>
          <w:rFonts w:ascii="Times New Roman" w:hAnsi="Times New Roman"/>
        </w:rPr>
        <w:t>（</w:t>
      </w:r>
      <w:r>
        <w:rPr>
          <w:rFonts w:hint="eastAsia" w:ascii="Times New Roman" w:hAnsi="Times New Roman"/>
        </w:rPr>
        <w:t>三</w:t>
      </w:r>
      <w:r>
        <w:rPr>
          <w:rFonts w:ascii="Times New Roman" w:hAnsi="Times New Roman"/>
        </w:rPr>
        <w:t>）污染排放管理</w:t>
      </w:r>
      <w:bookmarkEnd w:id="49"/>
    </w:p>
    <w:p w14:paraId="095BCFA4">
      <w:r>
        <w:t>良好生态环境是实现中华民族永续发展的内在要求，是增进民生福祉的优先领域。河北宁强高度重视污染排放管理，致力于通过科学管理和技术创新，减少各类污染物排放，保护环境，实现可持续发展目标。公司严格遵守国家和地方的环境保护法律法规，并根据环评验收报告的要求，制定和实施了系统化的污染排放管理措施，涵盖废气管理、噪声管理和固废管理等方面。</w:t>
      </w:r>
    </w:p>
    <w:p w14:paraId="4537D86E">
      <w:pPr>
        <w:pStyle w:val="4"/>
        <w:spacing w:before="31" w:after="31"/>
        <w:ind w:firstLine="562"/>
      </w:pPr>
      <w:bookmarkStart w:id="50" w:name="_Toc185362013"/>
      <w:r>
        <w:rPr>
          <w:rFonts w:hint="eastAsia"/>
        </w:rPr>
        <w:t>1</w:t>
      </w:r>
      <w:r>
        <w:t>.废气管理</w:t>
      </w:r>
      <w:bookmarkEnd w:id="50"/>
    </w:p>
    <w:p w14:paraId="0A76DBAA">
      <w:r>
        <w:t>公司生产过程中产生的废气主要为焊接、打磨工艺中产生的烟尘等，公司每季度委托第三方检测机构对厂区无组织废气和有组织废气的氮氧化物、氯化氢、氟化物、颗粒物、二氧化硫和烟气黑度等，依据HJ 693-2014、HJ/T 27-1999、HJ/T 67-2001、HJ 836-2017、HJ 57-2017和《空气和废气监测分析方法》（第四版）等进行检测。经检测，公司厂区各测点污染物浓度指标均符合排放标准要求。</w:t>
      </w:r>
    </w:p>
    <w:p w14:paraId="0CD5CB39">
      <w:pPr>
        <w:pStyle w:val="4"/>
        <w:spacing w:before="31" w:after="31"/>
        <w:ind w:firstLine="562"/>
      </w:pPr>
      <w:bookmarkStart w:id="51" w:name="_Toc185362014"/>
      <w:r>
        <w:rPr>
          <w:rFonts w:hint="eastAsia"/>
        </w:rPr>
        <w:t>2</w:t>
      </w:r>
      <w:r>
        <w:t>.噪声管理</w:t>
      </w:r>
      <w:bookmarkEnd w:id="51"/>
    </w:p>
    <w:p w14:paraId="00E2019C">
      <w:r>
        <w:t>公司噪声的来源主要是工业企业厂界环境噪声。公司每年委托第三方检测机构对厂区噪声等效声级，依据《工业企业厂界环境噪声排放标准》(GB 12348-2008)进行检测。经检测，公司厂区各噪声源检测点噪声符合国家相关要求。</w:t>
      </w:r>
    </w:p>
    <w:p w14:paraId="79645E1D">
      <w:pPr>
        <w:ind w:firstLine="0" w:firstLineChars="0"/>
        <w:jc w:val="center"/>
      </w:pPr>
      <w:r>
        <w:t xml:space="preserve"> </w:t>
      </w:r>
      <w:r>
        <w:drawing>
          <wp:inline distT="0" distB="0" distL="0" distR="0">
            <wp:extent cx="1516380" cy="2159635"/>
            <wp:effectExtent l="0" t="0" r="7620" b="0"/>
            <wp:docPr id="193913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3105" name="图片 1"/>
                    <pic:cNvPicPr>
                      <a:picLocks noChangeAspect="1"/>
                    </pic:cNvPicPr>
                  </pic:nvPicPr>
                  <pic:blipFill>
                    <a:blip r:embed="rId18"/>
                    <a:stretch>
                      <a:fillRect/>
                    </a:stretch>
                  </pic:blipFill>
                  <pic:spPr>
                    <a:xfrm>
                      <a:off x="0" y="0"/>
                      <a:ext cx="1516815" cy="2160000"/>
                    </a:xfrm>
                    <a:prstGeom prst="rect">
                      <a:avLst/>
                    </a:prstGeom>
                  </pic:spPr>
                </pic:pic>
              </a:graphicData>
            </a:graphic>
          </wp:inline>
        </w:drawing>
      </w:r>
      <w:r>
        <w:t xml:space="preserve"> </w:t>
      </w:r>
      <w:r>
        <w:drawing>
          <wp:inline distT="0" distB="0" distL="0" distR="0">
            <wp:extent cx="1517650" cy="2159635"/>
            <wp:effectExtent l="0" t="0" r="6350" b="0"/>
            <wp:docPr id="227833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33382" name="图片 1"/>
                    <pic:cNvPicPr>
                      <a:picLocks noChangeAspect="1"/>
                    </pic:cNvPicPr>
                  </pic:nvPicPr>
                  <pic:blipFill>
                    <a:blip r:embed="rId19"/>
                    <a:stretch>
                      <a:fillRect/>
                    </a:stretch>
                  </pic:blipFill>
                  <pic:spPr>
                    <a:xfrm>
                      <a:off x="0" y="0"/>
                      <a:ext cx="1517838" cy="2160000"/>
                    </a:xfrm>
                    <a:prstGeom prst="rect">
                      <a:avLst/>
                    </a:prstGeom>
                  </pic:spPr>
                </pic:pic>
              </a:graphicData>
            </a:graphic>
          </wp:inline>
        </w:drawing>
      </w:r>
    </w:p>
    <w:p w14:paraId="1A7B7154">
      <w:pPr>
        <w:pStyle w:val="15"/>
        <w:ind w:firstLine="0" w:firstLineChars="0"/>
      </w:pPr>
      <w:r>
        <w:t>废气和噪声第三方检测报告</w:t>
      </w:r>
    </w:p>
    <w:p w14:paraId="0CB76D06">
      <w:pPr>
        <w:pStyle w:val="4"/>
        <w:spacing w:before="31" w:after="31"/>
        <w:ind w:firstLine="562"/>
      </w:pPr>
      <w:bookmarkStart w:id="52" w:name="_Toc185362015"/>
      <w:r>
        <w:rPr>
          <w:rFonts w:hint="eastAsia"/>
        </w:rPr>
        <w:t>3</w:t>
      </w:r>
      <w:r>
        <w:t>.固废管理</w:t>
      </w:r>
      <w:bookmarkEnd w:id="52"/>
    </w:p>
    <w:p w14:paraId="73DE39EC">
      <w:r>
        <w:t>河北宁强一直致力于确保公司内的固体废弃物及危险废弃物得到及时清运、回收利用，避免对土地、水体和大气造成污染。公司制定了一系列措施和规章制度，明确了固废处理的目的、适用范围、职责以及具体的处理内容和要求。公司要求所有固体废弃物及危险废弃物必须按照《危险源辨识和风险评价控制程序》《环境因素识别和评价控制程序》《固体废弃物管理程序》要求进行处理。</w:t>
      </w:r>
    </w:p>
    <w:p w14:paraId="2F60FC29">
      <w:r>
        <w:rPr>
          <w:rFonts w:hint="eastAsia"/>
        </w:rPr>
        <w:t>河北宁强公司在固废排放方面严格遵守环境保护法规，定期进行排放检测与报告。根据固体污染物排污回执材料中的数据，河北宁强的固废排放符合国家和地方的环境标准，未出现超标排放的情况。公司通过专业的固废管理平台，对各类固体污染物的排放量、处理方式和去向进行了详细记录，确保所有排放均符合相关要求，并能够追溯与核查</w:t>
      </w:r>
      <w:r>
        <w:t>。</w:t>
      </w:r>
    </w:p>
    <w:p w14:paraId="36B67A40">
      <w:r>
        <w:t>河北宁强通过上述严格的固废处理措施，确保固体废弃物及危险废弃物得到安全、环保的处理，持续推动企业的可持续发展。</w:t>
      </w:r>
    </w:p>
    <w:p w14:paraId="117CBC6C">
      <w:pPr>
        <w:jc w:val="center"/>
      </w:pPr>
      <w:r>
        <w:drawing>
          <wp:inline distT="0" distB="0" distL="0" distR="0">
            <wp:extent cx="1517650" cy="2159635"/>
            <wp:effectExtent l="0" t="0" r="6350" b="0"/>
            <wp:docPr id="2018007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07156" name="图片 1"/>
                    <pic:cNvPicPr>
                      <a:picLocks noChangeAspect="1"/>
                    </pic:cNvPicPr>
                  </pic:nvPicPr>
                  <pic:blipFill>
                    <a:blip r:embed="rId20"/>
                    <a:stretch>
                      <a:fillRect/>
                    </a:stretch>
                  </pic:blipFill>
                  <pic:spPr>
                    <a:xfrm>
                      <a:off x="0" y="0"/>
                      <a:ext cx="1517932" cy="2160000"/>
                    </a:xfrm>
                    <a:prstGeom prst="rect">
                      <a:avLst/>
                    </a:prstGeom>
                  </pic:spPr>
                </pic:pic>
              </a:graphicData>
            </a:graphic>
          </wp:inline>
        </w:drawing>
      </w:r>
    </w:p>
    <w:p w14:paraId="79554689">
      <w:pPr>
        <w:pStyle w:val="15"/>
      </w:pPr>
      <w:r>
        <w:rPr>
          <w:rFonts w:hint="eastAsia"/>
        </w:rPr>
        <w:t>固体污染源排污登记回执</w:t>
      </w:r>
    </w:p>
    <w:p w14:paraId="765A12A7">
      <w:pPr>
        <w:pStyle w:val="3"/>
        <w:ind w:firstLine="562"/>
        <w:rPr>
          <w:rFonts w:ascii="Times New Roman" w:hAnsi="Times New Roman"/>
        </w:rPr>
      </w:pPr>
      <w:bookmarkStart w:id="53" w:name="_Toc26638"/>
      <w:bookmarkStart w:id="54" w:name="_Toc185362016"/>
      <w:r>
        <w:rPr>
          <w:rFonts w:hint="eastAsia" w:ascii="Times New Roman" w:hAnsi="Times New Roman"/>
        </w:rPr>
        <w:t>（四）</w:t>
      </w:r>
      <w:bookmarkEnd w:id="53"/>
      <w:r>
        <w:rPr>
          <w:rFonts w:hint="eastAsia" w:ascii="Times New Roman" w:hAnsi="Times New Roman"/>
        </w:rPr>
        <w:t>打造绿色供应链</w:t>
      </w:r>
      <w:bookmarkEnd w:id="54"/>
    </w:p>
    <w:p w14:paraId="54B6D033">
      <w:pPr>
        <w:widowControl w:val="0"/>
        <w:spacing w:line="560" w:lineRule="exact"/>
      </w:pPr>
      <w:r>
        <w:rPr>
          <w:rFonts w:hint="eastAsia"/>
        </w:rPr>
        <w:t>打造绿色供应链是推动产业体系转型升级和绿色循环发展的有力措施，对于保障供应链安全、提升供应链韧性和国家竞争力具有重要意义。河北宁强肩负能源供应责任，在采购活动中，充分考虑环境效益，优先采购环境友好、节能低耗和易于资源综合利用的原材料、产品和服务，兼顾经济效益和环境效益。</w:t>
      </w:r>
    </w:p>
    <w:p w14:paraId="045E1DE1">
      <w:pPr>
        <w:widowControl w:val="0"/>
        <w:spacing w:line="560" w:lineRule="exact"/>
      </w:pPr>
      <w:r>
        <w:rPr>
          <w:rFonts w:hint="eastAsia"/>
        </w:rPr>
        <w:t>公司积极打造绿色供应链，不断完善采购标准和制度，综合考虑产品设计、采购、生产、包装、物流、销售、服务、回收和再利用等多个环节的节能环保因素，与上下游企业共同践行环境保护、节能减排等社会责任，携手供应链企业共同发展。</w:t>
      </w:r>
    </w:p>
    <w:p w14:paraId="73E22F6A">
      <w:pPr>
        <w:widowControl w:val="0"/>
        <w:spacing w:line="560" w:lineRule="exact"/>
      </w:pPr>
      <w:r>
        <w:rPr>
          <w:rFonts w:hint="eastAsia"/>
        </w:rPr>
        <w:t>公司建立绿色采购管理制度，依照相关采购程序，在采购过程中做到优先采购绿色产品、绿色原材料和绿色服务；持续完善供应商管理制度，优先选择绿色供应商；清晰列明绿色产品、绿色原材料、绿色服务和绿色供应商定义，通过制定标准，确保流程执行有据可依。同时，公司明确杜绝采购类型，不采购过度包装及不符合回收要求或被列入“高污染、高环境风险”产品名录的产品，不采购国家限制或不鼓励生产、采购、使用的其他高耗能、高污染类产品。</w:t>
      </w:r>
    </w:p>
    <w:p w14:paraId="2440F7BF">
      <w:pPr>
        <w:pStyle w:val="3"/>
        <w:ind w:firstLine="562"/>
        <w:rPr>
          <w:rFonts w:ascii="Times New Roman" w:hAnsi="Times New Roman"/>
        </w:rPr>
      </w:pPr>
      <w:bookmarkStart w:id="55" w:name="_Toc185362017"/>
      <w:r>
        <w:rPr>
          <w:rFonts w:ascii="Times New Roman" w:hAnsi="Times New Roman"/>
        </w:rPr>
        <w:t>（</w:t>
      </w:r>
      <w:r>
        <w:rPr>
          <w:rFonts w:hint="eastAsia" w:ascii="Times New Roman" w:hAnsi="Times New Roman"/>
        </w:rPr>
        <w:t>五</w:t>
      </w:r>
      <w:r>
        <w:rPr>
          <w:rFonts w:ascii="Times New Roman" w:hAnsi="Times New Roman"/>
        </w:rPr>
        <w:t>）开展绿色办公</w:t>
      </w:r>
      <w:bookmarkEnd w:id="55"/>
    </w:p>
    <w:p w14:paraId="6B6D2922">
      <w:r>
        <w:t>河北宁强始终坚持绿色发展的理念，积极推进绿色办公措施，通过优化办公环境和设备，提高能源使用效率，减少办公过程中的资源消耗和环境影响。公司制定了《</w:t>
      </w:r>
      <w:r>
        <w:rPr>
          <w:rFonts w:hint="eastAsia"/>
        </w:rPr>
        <w:t>管理手册</w:t>
      </w:r>
      <w:r>
        <w:t>》等一系列相关内部规章程序。</w:t>
      </w:r>
    </w:p>
    <w:p w14:paraId="26B228BF">
      <w:r>
        <w:t>为了减少能源消耗，公司对办公照明系统进行了全面改造，将传统照明灯更换为高效节能的LED灯。相比传统照明灯具，LED灯具有能耗低、寿命长、光效高的特点，能够显著降低照明电能的消耗。自实施LED灯改造以来，不仅节约了能源成本，还减少了温室气体的排放，进一步体现了公司对环境保护的承诺。除了硬件设备的升级，公司还注重员工的节能意识培养。公司通过宣传和培训，倡导员工养成节约用电、节约用水的良好习惯。例如，鼓励员工在离开办公室时随手关闭电器设备和灯光，合理设置空调温度，尽量减少打印和复印次数，选择双面打印等。这些简单的行为习惯，不仅有助于降低能源和资源的消耗，也提升了员工的环保意识和责任感。</w:t>
      </w:r>
    </w:p>
    <w:p w14:paraId="1BD1F278">
      <w:r>
        <w:t>在办公区域的布局和管理方面，公司也做出了相应的调整和优化。公司合理规划办公区域，尽量利用自然光，减少人工照明的使用；通过改善办公环境，增强空气流通，减少空调的使用频率；推广绿色植物的种植，增加办公区域的绿化覆盖率，改善空气质量，营造一个健康、舒适的办公环境。</w:t>
      </w:r>
    </w:p>
    <w:p w14:paraId="604F9938">
      <w:pPr>
        <w:jc w:val="center"/>
      </w:pPr>
      <w:r>
        <w:drawing>
          <wp:inline distT="0" distB="0" distL="0" distR="0">
            <wp:extent cx="3599815" cy="5687060"/>
            <wp:effectExtent l="0" t="0" r="635" b="8890"/>
            <wp:docPr id="2048876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6359" name="图片 1"/>
                    <pic:cNvPicPr>
                      <a:picLocks noChangeAspect="1"/>
                    </pic:cNvPicPr>
                  </pic:nvPicPr>
                  <pic:blipFill>
                    <a:blip r:embed="rId21"/>
                    <a:stretch>
                      <a:fillRect/>
                    </a:stretch>
                  </pic:blipFill>
                  <pic:spPr>
                    <a:xfrm>
                      <a:off x="0" y="0"/>
                      <a:ext cx="3599815" cy="5687060"/>
                    </a:xfrm>
                    <a:prstGeom prst="rect">
                      <a:avLst/>
                    </a:prstGeom>
                  </pic:spPr>
                </pic:pic>
              </a:graphicData>
            </a:graphic>
          </wp:inline>
        </w:drawing>
      </w:r>
    </w:p>
    <w:p w14:paraId="68B5D8F3">
      <w:pPr>
        <w:pStyle w:val="15"/>
      </w:pPr>
      <w:r>
        <w:rPr>
          <w:rFonts w:hint="eastAsia"/>
        </w:rPr>
        <w:t>LED</w:t>
      </w:r>
      <w:r>
        <w:t>办公</w:t>
      </w:r>
      <w:r>
        <w:rPr>
          <w:rFonts w:hint="eastAsia"/>
        </w:rPr>
        <w:t>灯</w:t>
      </w:r>
    </w:p>
    <w:p w14:paraId="2350D9CA">
      <w:pPr>
        <w:rPr>
          <w:rFonts w:eastAsia="仿宋_GB2312"/>
          <w:lang w:bidi="ar"/>
        </w:rPr>
      </w:pPr>
      <w:r>
        <w:br w:type="page"/>
      </w:r>
    </w:p>
    <w:p w14:paraId="6FBFE95B">
      <w:pPr>
        <w:pStyle w:val="2"/>
        <w:ind w:left="560"/>
      </w:pPr>
      <w:bookmarkStart w:id="56" w:name="_Toc185362018"/>
      <w:r>
        <w:t>社会篇：以人为本 共享和谐之果</w:t>
      </w:r>
      <w:bookmarkEnd w:id="56"/>
    </w:p>
    <w:p w14:paraId="30683322">
      <w:pPr>
        <w:pStyle w:val="3"/>
        <w:numPr>
          <w:ilvl w:val="0"/>
          <w:numId w:val="1"/>
        </w:numPr>
        <w:ind w:firstLineChars="0"/>
        <w:rPr>
          <w:rFonts w:ascii="Times New Roman" w:hAnsi="Times New Roman"/>
        </w:rPr>
      </w:pPr>
      <w:bookmarkStart w:id="57" w:name="_Toc185362019"/>
      <w:r>
        <w:rPr>
          <w:rFonts w:ascii="Times New Roman" w:hAnsi="Times New Roman"/>
        </w:rPr>
        <w:t>员工权益与发展</w:t>
      </w:r>
      <w:bookmarkEnd w:id="57"/>
    </w:p>
    <w:p w14:paraId="287E688F">
      <w:r>
        <w:t>员工是公司发展的根本，也是公司重要财富。河北宁强始终坚持以人为本，充分尊重和保护员工的基本权益，着力构建完善的人才培养机制，加强员工人文关怀，用实际行动关爱员工，增强员工幸福感、认同感和归属感，携手员工共同发展和成长。</w:t>
      </w:r>
    </w:p>
    <w:p w14:paraId="147DFB30">
      <w:pPr>
        <w:pStyle w:val="4"/>
        <w:spacing w:before="31" w:after="31"/>
        <w:ind w:firstLine="562"/>
      </w:pPr>
      <w:bookmarkStart w:id="58" w:name="_Toc185362020"/>
      <w:r>
        <w:t>1.保障员工权益</w:t>
      </w:r>
      <w:bookmarkEnd w:id="58"/>
    </w:p>
    <w:p w14:paraId="401A0D9F">
      <w:r>
        <w:t>公司坚持平等规范雇佣，不断完善薪酬福利体系和民主管理机制，切实维护和保障员工的各项合法权益。</w:t>
      </w:r>
    </w:p>
    <w:p w14:paraId="4289548B">
      <w:pPr>
        <w:rPr>
          <w:lang w:bidi="ar"/>
        </w:rPr>
      </w:pPr>
      <w:r>
        <w:rPr>
          <w:lang w:bidi="ar"/>
        </w:rPr>
        <w:t>（1）平等规范雇佣</w:t>
      </w:r>
    </w:p>
    <w:p w14:paraId="297D32C9">
      <w:pPr>
        <w:rPr>
          <w:lang w:bidi="ar"/>
        </w:rPr>
      </w:pPr>
      <w:bookmarkStart w:id="59" w:name="_Hlk185364093"/>
      <w:r>
        <w:rPr>
          <w:lang w:bidi="ar"/>
        </w:rPr>
        <w:t>公司严格遵守《中华人民共和国劳动法》《中华人民共和国劳动合同法》《民法典》等法律法规，坚持平等规范雇佣，倡导多元化和机会平等，反对任何形式的强迫劳动和骚扰虐待，坚决抵制童工，反对一切因性别、年龄、种族、宗教信仰、国籍、婚姻状况、身体条件、性取向或身份认同等不同而存在的歧视行为。202</w:t>
      </w:r>
      <w:r>
        <w:rPr>
          <w:rFonts w:hint="eastAsia"/>
          <w:lang w:val="en-US" w:eastAsia="zh-CN" w:bidi="ar"/>
        </w:rPr>
        <w:t>5</w:t>
      </w:r>
      <w:r>
        <w:rPr>
          <w:lang w:bidi="ar"/>
        </w:rPr>
        <w:t>年，公司未收到人权问题投诉事件，未发生重大劳动争议，未发现雇佣童工现象。</w:t>
      </w:r>
    </w:p>
    <w:p w14:paraId="43121E23">
      <w:pPr>
        <w:rPr>
          <w:lang w:bidi="ar"/>
        </w:rPr>
      </w:pPr>
      <w:r>
        <w:rPr>
          <w:lang w:bidi="ar"/>
        </w:rPr>
        <w:t>公司致力与员工建立长期稳定的雇佣关系，招聘和选拔过程完全基于应聘者的能力、技能和潜力，确保所有招聘广告、职位描述和选拔标准都符合公平、公正的原则，与每位员工签订劳动合同，劳动合同签订率达100%。</w:t>
      </w:r>
    </w:p>
    <w:p w14:paraId="291B0BBE">
      <w:pPr>
        <w:rPr>
          <w:highlight w:val="none"/>
          <w:lang w:bidi="ar"/>
        </w:rPr>
      </w:pPr>
      <w:r>
        <w:rPr>
          <w:highlight w:val="none"/>
          <w:lang w:bidi="ar"/>
        </w:rPr>
        <w:t>202</w:t>
      </w:r>
      <w:r>
        <w:rPr>
          <w:rFonts w:hint="eastAsia"/>
          <w:highlight w:val="none"/>
          <w:lang w:val="en-US" w:eastAsia="zh-CN" w:bidi="ar"/>
        </w:rPr>
        <w:t>5</w:t>
      </w:r>
      <w:r>
        <w:rPr>
          <w:highlight w:val="none"/>
          <w:lang w:bidi="ar"/>
        </w:rPr>
        <w:t>年底，</w:t>
      </w:r>
      <w:r>
        <w:rPr>
          <w:rFonts w:hint="eastAsia"/>
          <w:highlight w:val="none"/>
          <w:lang w:bidi="ar"/>
        </w:rPr>
        <w:t>宁强铁塔共有员工</w:t>
      </w:r>
      <w:r>
        <w:rPr>
          <w:rFonts w:hint="eastAsia"/>
          <w:highlight w:val="none"/>
          <w:lang w:val="en-US" w:eastAsia="zh-CN" w:bidi="ar"/>
        </w:rPr>
        <w:t>388</w:t>
      </w:r>
      <w:r>
        <w:rPr>
          <w:rFonts w:hint="eastAsia"/>
          <w:highlight w:val="none"/>
          <w:lang w:bidi="ar"/>
        </w:rPr>
        <w:t>人，其中男性职工</w:t>
      </w:r>
      <w:r>
        <w:rPr>
          <w:rFonts w:hint="eastAsia"/>
          <w:highlight w:val="none"/>
          <w:lang w:val="en-US" w:eastAsia="zh-CN" w:bidi="ar"/>
        </w:rPr>
        <w:t>319</w:t>
      </w:r>
      <w:r>
        <w:rPr>
          <w:rFonts w:hint="eastAsia"/>
          <w:highlight w:val="none"/>
          <w:lang w:bidi="ar"/>
        </w:rPr>
        <w:t>人，女性职工69人，所有员工均在人力资源部登记并标注</w:t>
      </w:r>
      <w:bookmarkEnd w:id="59"/>
      <w:r>
        <w:rPr>
          <w:highlight w:val="none"/>
          <w:lang w:bidi="ar"/>
        </w:rPr>
        <w:t>。</w:t>
      </w:r>
    </w:p>
    <w:p w14:paraId="0CD3EFFE">
      <w:pPr>
        <w:jc w:val="center"/>
        <w:rPr>
          <w:highlight w:val="none"/>
          <w:lang w:bidi="ar"/>
        </w:rPr>
      </w:pPr>
      <w:bookmarkStart w:id="60" w:name="_Hlk185364098"/>
      <w:r>
        <w:rPr>
          <w:highlight w:val="none"/>
        </w:rPr>
        <w:drawing>
          <wp:inline distT="0" distB="0" distL="0" distR="0">
            <wp:extent cx="1534795" cy="2159635"/>
            <wp:effectExtent l="0" t="0" r="8255" b="0"/>
            <wp:docPr id="739028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28934" name="图片 1"/>
                    <pic:cNvPicPr>
                      <a:picLocks noChangeAspect="1"/>
                    </pic:cNvPicPr>
                  </pic:nvPicPr>
                  <pic:blipFill>
                    <a:blip r:embed="rId22"/>
                    <a:stretch>
                      <a:fillRect/>
                    </a:stretch>
                  </pic:blipFill>
                  <pic:spPr>
                    <a:xfrm>
                      <a:off x="0" y="0"/>
                      <a:ext cx="1535380" cy="2160000"/>
                    </a:xfrm>
                    <a:prstGeom prst="rect">
                      <a:avLst/>
                    </a:prstGeom>
                  </pic:spPr>
                </pic:pic>
              </a:graphicData>
            </a:graphic>
          </wp:inline>
        </w:drawing>
      </w:r>
    </w:p>
    <w:p w14:paraId="285B94D2">
      <w:pPr>
        <w:pStyle w:val="15"/>
      </w:pPr>
      <w:r>
        <w:rPr>
          <w:rFonts w:hint="eastAsia"/>
        </w:rPr>
        <w:t>人力资源表</w:t>
      </w:r>
    </w:p>
    <w:bookmarkEnd w:id="60"/>
    <w:p w14:paraId="0D9E4880">
      <w:pPr>
        <w:rPr>
          <w:lang w:bidi="ar"/>
        </w:rPr>
      </w:pPr>
      <w:r>
        <w:rPr>
          <w:lang w:bidi="ar"/>
        </w:rPr>
        <w:t>（2）薪酬福利体系</w:t>
      </w:r>
    </w:p>
    <w:p w14:paraId="0C500D20">
      <w:bookmarkStart w:id="61" w:name="_Hlk185364312"/>
      <w:r>
        <w:t>公司严格遵守国家和地方政府制定的最低工资标准，确保所有员工工资不低于当地政府规定的最低工资标准，并按时足额支付。结合实际情况，公司基于最低工资标准，建立一系列岗位工资、绩效工资、工龄工资、提成工资、计件工资和津补贴等薪酬政策，保障员工基本生活需求，确保员工劳动价值得到合理体现。</w:t>
      </w:r>
    </w:p>
    <w:p w14:paraId="7614480F">
      <w:r>
        <w:t>公司持续完善薪酬福利体系，</w:t>
      </w:r>
      <w:r>
        <w:rPr>
          <w:rFonts w:hint="eastAsia"/>
        </w:rPr>
        <w:t>建立《总经理基金实施细则》等内部规章，</w:t>
      </w:r>
      <w:r>
        <w:t>优化薪酬管理体系，坚持“合法性、公平性和激励性”原则，建立个人绩效与企业效益相匹配的市场化薪酬体系，不断优化薪酬收入结构，实现员工劳动报酬的合理分配，增强薪酬分配的激励约束作用。</w:t>
      </w:r>
    </w:p>
    <w:p w14:paraId="031D5393">
      <w:r>
        <w:t>公司严格遵守《中华人民共和国社会保险法》《住房公积金管理条例》等法律法规，提升职工福利保障管理水平，依法维护公司和员工利益。公司员工福利保障除职工工资、奖金、津贴外，还包括职工福利、集体活动、节日福利、爱心基金等员工福利项目以及五险一金等保障项目</w:t>
      </w:r>
      <w:bookmarkEnd w:id="61"/>
      <w:r>
        <w:t>。</w:t>
      </w:r>
    </w:p>
    <w:p w14:paraId="171BE614">
      <w:pPr>
        <w:rPr>
          <w:lang w:bidi="ar"/>
        </w:rPr>
      </w:pPr>
      <w:r>
        <w:rPr>
          <w:lang w:bidi="ar"/>
        </w:rPr>
        <w:t>（3）员工民主管理</w:t>
      </w:r>
    </w:p>
    <w:p w14:paraId="24563F2C">
      <w:pPr>
        <w:rPr>
          <w:lang w:bidi="ar"/>
        </w:rPr>
      </w:pPr>
      <w:r>
        <w:rPr>
          <w:lang w:bidi="ar"/>
        </w:rPr>
        <w:t>公司严格遵守《中华人民共和国工会法》《中国工会章程》《基层工会会员代表大会条例》等法律法规，积极探索职工参与企业民主管理、民主监督、民主决策的各种有效方式和途径，逐步完善以职工代表大会为基本形式的民主管理制度。</w:t>
      </w:r>
    </w:p>
    <w:p w14:paraId="1BC2446B">
      <w:pPr>
        <w:pStyle w:val="4"/>
        <w:spacing w:before="31" w:after="31"/>
        <w:ind w:firstLine="562"/>
      </w:pPr>
      <w:bookmarkStart w:id="62" w:name="_Toc185362021"/>
      <w:bookmarkStart w:id="63" w:name="_Toc15983"/>
      <w:bookmarkStart w:id="64" w:name="_Toc10276"/>
      <w:bookmarkStart w:id="65" w:name="_Toc5580"/>
      <w:bookmarkStart w:id="66" w:name="_Toc19411"/>
      <w:bookmarkStart w:id="67" w:name="_Toc16581"/>
      <w:r>
        <w:t>2.</w:t>
      </w:r>
      <w:bookmarkStart w:id="68" w:name="_Toc23985"/>
      <w:bookmarkStart w:id="69" w:name="_Toc32070"/>
      <w:bookmarkStart w:id="70" w:name="_Toc26607"/>
      <w:bookmarkStart w:id="71" w:name="_Toc4831"/>
      <w:bookmarkStart w:id="72" w:name="_Toc233"/>
      <w:r>
        <w:t>激励员工发展</w:t>
      </w:r>
      <w:bookmarkEnd w:id="62"/>
      <w:bookmarkEnd w:id="68"/>
      <w:bookmarkEnd w:id="69"/>
      <w:bookmarkEnd w:id="70"/>
      <w:bookmarkEnd w:id="71"/>
      <w:bookmarkEnd w:id="72"/>
    </w:p>
    <w:p w14:paraId="06C770A6">
      <w:r>
        <w:t>公司关注员工能力培训与职业发展，不断探索人才培养机制，通过开展管理能力和专业技能培训，推动员工队伍综合能力提升，为各级人才持续营造宽松灵活的发展环境。</w:t>
      </w:r>
    </w:p>
    <w:p w14:paraId="2C39577D">
      <w:pPr>
        <w:rPr>
          <w:lang w:bidi="ar"/>
        </w:rPr>
      </w:pPr>
      <w:r>
        <w:rPr>
          <w:lang w:bidi="ar"/>
        </w:rPr>
        <w:t>（1）畅通职业通道</w:t>
      </w:r>
    </w:p>
    <w:p w14:paraId="2EDE1F51">
      <w:pPr>
        <w:rPr>
          <w:lang w:bidi="ar"/>
        </w:rPr>
      </w:pPr>
      <w:r>
        <w:rPr>
          <w:lang w:bidi="ar"/>
        </w:rPr>
        <w:t>公司制定《员工手册》《人力资源控制程序》等内部规章，并参照《企业员工晋升体系》等体系文件，拓展员工职业成长空间，激发员工队伍干事创业活力，打通多元化职业发展通道，以满足不同岗位、不同层级的员工发展需求。</w:t>
      </w:r>
    </w:p>
    <w:p w14:paraId="1A643627">
      <w:pPr>
        <w:rPr>
          <w:lang w:bidi="ar"/>
        </w:rPr>
      </w:pPr>
      <w:r>
        <w:rPr>
          <w:lang w:bidi="ar"/>
        </w:rPr>
        <w:t>公司注重员工的能力和绩效并重的晋升原则。员工的晋升不仅依赖于其在公司工作的年限，还包括其在工作中的实际表现和贡献。公司定期对员工进行绩效考核，考核内容包括工作业绩、专业技能、团队合作能力等多方面。绩效考核结果将作为员工晋升的重要依据，确保晋升过程的公平、公正、公开。同时，公司还会根据员工的实际能力和岗位需求，合理安排其晋升路径，确保员工的能力与岗位需求相匹配。</w:t>
      </w:r>
    </w:p>
    <w:p w14:paraId="117E33D6">
      <w:pPr>
        <w:rPr>
          <w:lang w:bidi="ar"/>
        </w:rPr>
      </w:pPr>
      <w:r>
        <w:rPr>
          <w:lang w:bidi="ar"/>
        </w:rPr>
        <w:t>公司制定了详细的晋升条件和流程，确保晋升工作的规范化和透明化。员工可以根据自身条件和职业规划，提出晋升申请，并提交相关证明材料。各部门负责人将对申请进行初步审核，并签署推荐意见。随后，人力资源部将对申请员工的资格进行审查，包括工作年限、绩效考核结果、违纪记录等。最终，由公司高层领导根据综合评估结果进行审批决策，并对晋升结果进行公示，接受员工的监督和反馈。</w:t>
      </w:r>
    </w:p>
    <w:p w14:paraId="31975F07">
      <w:pPr>
        <w:rPr>
          <w:lang w:bidi="ar"/>
        </w:rPr>
      </w:pPr>
      <w:r>
        <w:rPr>
          <w:lang w:bidi="ar"/>
        </w:rPr>
        <w:t>通过系统的职业通道管理，河北宁强不仅为员工提供了明确的职业发展路径，还通过科学的晋升管理体系激励员工不断提升自身能力和工作表现。公司将继续优化职业通道管理制度，提供更多的发展机会和支持，助力员工在职业发展中不断取得新突破。</w:t>
      </w:r>
    </w:p>
    <w:p w14:paraId="1725518F">
      <w:pPr>
        <w:rPr>
          <w:lang w:bidi="ar"/>
        </w:rPr>
      </w:pPr>
      <w:r>
        <w:rPr>
          <w:lang w:bidi="ar"/>
        </w:rPr>
        <w:t>（2）建设人才体系</w:t>
      </w:r>
    </w:p>
    <w:p w14:paraId="0DB68F67">
      <w:pPr>
        <w:rPr>
          <w:lang w:bidi="ar"/>
        </w:rPr>
      </w:pPr>
      <w:r>
        <w:rPr>
          <w:lang w:bidi="ar"/>
        </w:rPr>
        <w:t>河北宁强深知人才是企业持续发展的核心动力，为此，公司致力于建设完善的人才体系，通过系统的培训与发展计划，不断提升员工的综合素质和专业能力，以适应公司不断变化的业务需求和市场环境。</w:t>
      </w:r>
    </w:p>
    <w:p w14:paraId="2FA81B97">
      <w:pPr>
        <w:rPr>
          <w:lang w:bidi="ar"/>
        </w:rPr>
      </w:pPr>
      <w:r>
        <w:rPr>
          <w:lang w:bidi="ar"/>
        </w:rPr>
        <w:t>公司采用多种培训方式，提高员工的培训效果。内部培训是公司培训体系的重要组成部分，通过培训、参观、师带徒、现场观摩等多种方式，提升员工的能力。新进职工在入职时会接受系统的培训，内容包括环保、安全知识、工艺和管理规定等，帮助新员工快速适应公司环境和工作要求。对于上岗前或转岗的员工，用人部门将负责进行岗位的基础理论和职业技能培训，确保员工具备胜任新岗位的能力。公司注重在岗人员的持续培训和发展。根据业务需求和员工的职业发展规划，公司定期组织管理、岗位技能、环境因素和危险源相关培训，确保员工的能力不断提升并符合岗位要求。对于特殊工种或工作人员，公司将组织外部培训，并在考核合格后发放上岗证书，确保员工具备相关资格。专业培训由归口管理部门组织或报总经理批准后进行外部培训，通过系统的专业培训，提高员工的专业能力和职业素养。</w:t>
      </w:r>
    </w:p>
    <w:p w14:paraId="5F373A08">
      <w:pPr>
        <w:rPr>
          <w:lang w:bidi="ar"/>
        </w:rPr>
      </w:pPr>
      <w:r>
        <w:rPr>
          <w:lang w:bidi="ar"/>
        </w:rPr>
        <w:t>通过建设完善的人才体系，河北宁强不仅为员工提供了丰富的学习和发展机会，还通过系统的培训和考核机制，确保员工的能力和素质不断提升。公司将继续优化人才体系建设，提供更多的培训和发展机会，助力员工在职业发展中不断取得新成就，并为公司的可持续发展提供坚实的人才保障。</w:t>
      </w:r>
    </w:p>
    <w:bookmarkEnd w:id="63"/>
    <w:bookmarkEnd w:id="64"/>
    <w:bookmarkEnd w:id="65"/>
    <w:bookmarkEnd w:id="66"/>
    <w:bookmarkEnd w:id="67"/>
    <w:p w14:paraId="64BA3E5D">
      <w:pPr>
        <w:pStyle w:val="3"/>
        <w:numPr>
          <w:ilvl w:val="0"/>
          <w:numId w:val="1"/>
        </w:numPr>
        <w:ind w:firstLineChars="0"/>
        <w:rPr>
          <w:rFonts w:ascii="Times New Roman" w:hAnsi="Times New Roman"/>
        </w:rPr>
      </w:pPr>
      <w:bookmarkStart w:id="73" w:name="_Toc185362022"/>
      <w:bookmarkStart w:id="74" w:name="_Hlk185359176"/>
      <w:r>
        <w:rPr>
          <w:rFonts w:ascii="Times New Roman" w:hAnsi="Times New Roman"/>
        </w:rPr>
        <w:t>职业健康与安全</w:t>
      </w:r>
      <w:bookmarkEnd w:id="73"/>
    </w:p>
    <w:bookmarkEnd w:id="74"/>
    <w:p w14:paraId="57F7607B">
      <w:pPr>
        <w:pStyle w:val="4"/>
        <w:spacing w:before="31" w:after="31"/>
        <w:ind w:firstLine="562"/>
      </w:pPr>
      <w:bookmarkStart w:id="75" w:name="_Toc185362023"/>
      <w:r>
        <w:t>1.守护职业健康</w:t>
      </w:r>
      <w:bookmarkEnd w:id="75"/>
    </w:p>
    <w:p w14:paraId="483D41B3">
      <w:r>
        <w:t>公司规范员工职业健康管理，建立了全面的职业健康管理体系，涵盖了职业病防治、工作场所安全和员工健康管理等各个方面。公司定期开展职业病危害因素检测，确保工作场所符合国家职业卫生标准。通过设置职业健康管理部门，指定专职人员负责职业健康管理工作，确保各项措施有效落实。同时，公司为员工配备与职业健康保护相适应的劳保用品、设施和工具，全力保障员工职业健康。</w:t>
      </w:r>
    </w:p>
    <w:p w14:paraId="710E42E5">
      <w:r>
        <w:t>公司高度重视员工的健康教育与培训，定期组织职业健康知识讲座和培训班，提升员工的健康意识和自我防护能力。培训内容包括职业病预防、安全操作规程、急救知识等，帮助员工掌握必要的职业健康知识和技能。通过健康教育活动，增强员工的健康意识，营造人人关注职业健康的良好氛围。</w:t>
      </w:r>
    </w:p>
    <w:p w14:paraId="42CD41F5">
      <w:pPr>
        <w:rPr>
          <w:rFonts w:hint="eastAsia" w:ascii="宋体" w:hAnsi="宋体" w:eastAsia="宋体" w:cs="宋体"/>
        </w:rPr>
      </w:pPr>
      <w:r>
        <w:rPr>
          <w:rFonts w:hint="eastAsia" w:ascii="宋体" w:hAnsi="宋体" w:eastAsia="宋体" w:cs="宋体"/>
          <w:highlight w:val="none"/>
        </w:rPr>
        <w:t>公司已获得：</w:t>
      </w:r>
      <w:r>
        <w:rPr>
          <w:rFonts w:hint="eastAsia" w:ascii="宋体" w:hAnsi="宋体" w:eastAsia="宋体" w:cs="宋体"/>
          <w:sz w:val="28"/>
          <w:szCs w:val="28"/>
          <w:highlight w:val="none"/>
        </w:rPr>
        <w:t>GB/T45001-2020/ISO45001:2018职业健康安全管理体系认证（有效期自202</w:t>
      </w: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年08月2</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日至202</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年08月2</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日），</w:t>
      </w:r>
      <w:r>
        <w:rPr>
          <w:rFonts w:hint="eastAsia" w:ascii="宋体" w:hAnsi="宋体" w:eastAsia="宋体" w:cs="宋体"/>
          <w:sz w:val="28"/>
          <w:szCs w:val="28"/>
          <w:highlight w:val="none"/>
          <w:lang w:bidi="ar"/>
        </w:rPr>
        <w:t>认证范围覆盖</w:t>
      </w:r>
      <w:r>
        <w:rPr>
          <w:rFonts w:hint="eastAsia" w:ascii="宋体" w:hAnsi="宋体" w:eastAsia="宋体" w:cs="宋体"/>
          <w:b w:val="0"/>
          <w:bCs w:val="0"/>
          <w:color w:val="000000"/>
          <w:kern w:val="0"/>
          <w:sz w:val="28"/>
          <w:szCs w:val="28"/>
          <w:highlight w:val="none"/>
          <w:lang w:val="en-US" w:eastAsia="zh-CN" w:bidi="ar"/>
        </w:rPr>
        <w:t>输电线路铁塔、钢管塔、钢管杆、变电站构支架；铁附</w:t>
      </w:r>
      <w:r>
        <w:rPr>
          <w:rFonts w:hint="eastAsia" w:ascii="宋体" w:hAnsi="宋体" w:eastAsia="宋体" w:cs="宋体"/>
          <w:b w:val="0"/>
          <w:bCs w:val="0"/>
          <w:color w:val="000000"/>
          <w:kern w:val="0"/>
          <w:sz w:val="28"/>
          <w:szCs w:val="28"/>
          <w:lang w:val="en-US" w:eastAsia="zh-CN" w:bidi="ar"/>
        </w:rPr>
        <w:t>件（横担、抱箍、拉线棒、顶架、 接地铁、拉攀）；地脚螺栓；风力发电机塔架；微波通信塔；波纹涵管；照明设施 （高杆灯、路灯、空心阴极灯、庭院灯的灯杆）及钢结构件的制造涉及的环境管理活动</w:t>
      </w:r>
      <w:r>
        <w:rPr>
          <w:rFonts w:hint="eastAsia" w:ascii="宋体" w:hAnsi="宋体" w:eastAsia="宋体" w:cs="宋体"/>
          <w:b w:val="0"/>
          <w:bCs w:val="0"/>
          <w:sz w:val="28"/>
          <w:szCs w:val="28"/>
          <w:lang w:bidi="ar"/>
        </w:rPr>
        <w:t>，</w:t>
      </w:r>
      <w:r>
        <w:rPr>
          <w:rFonts w:hint="eastAsia" w:ascii="宋体" w:hAnsi="宋体" w:eastAsia="宋体" w:cs="宋体"/>
          <w:sz w:val="28"/>
          <w:szCs w:val="28"/>
          <w:lang w:bidi="ar"/>
        </w:rPr>
        <w:t>并通过第三方机构监督审核，保障管理体系有效运转。</w:t>
      </w:r>
    </w:p>
    <w:p w14:paraId="3EF64C28">
      <w:pPr>
        <w:jc w:val="center"/>
      </w:pPr>
      <w:r>
        <w:drawing>
          <wp:inline distT="0" distB="0" distL="114300" distR="114300">
            <wp:extent cx="2811780" cy="393573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2811780" cy="3935730"/>
                    </a:xfrm>
                    <a:prstGeom prst="rect">
                      <a:avLst/>
                    </a:prstGeom>
                    <a:noFill/>
                    <a:ln>
                      <a:noFill/>
                    </a:ln>
                  </pic:spPr>
                </pic:pic>
              </a:graphicData>
            </a:graphic>
          </wp:inline>
        </w:drawing>
      </w:r>
    </w:p>
    <w:p w14:paraId="3676FC49">
      <w:pPr>
        <w:pStyle w:val="15"/>
      </w:pPr>
      <w:r>
        <w:rPr>
          <w:rFonts w:hint="eastAsia"/>
        </w:rPr>
        <w:t>职业健康安全</w:t>
      </w:r>
      <w:r>
        <w:t>管理体系认证证书</w:t>
      </w:r>
    </w:p>
    <w:p w14:paraId="2D4F1B84">
      <w:pPr>
        <w:pStyle w:val="4"/>
        <w:spacing w:before="31" w:after="31"/>
        <w:ind w:firstLine="562"/>
      </w:pPr>
      <w:bookmarkStart w:id="76" w:name="_Toc185362024"/>
      <w:r>
        <w:t>2.安全生产运营</w:t>
      </w:r>
      <w:bookmarkEnd w:id="76"/>
    </w:p>
    <w:p w14:paraId="4EDF616E">
      <w:r>
        <w:t>安全是公司稳健发展的基石。河北宁强始终将安全放在重要位置，巩固树立安全发展理念，强化安全管理，提升应急能力，开展隐患排查，宣贯安全文化，防止和减少生产安全事故的发生，保障公司财产和员工的生命安全，为公司发展创造良好的安全环境。</w:t>
      </w:r>
    </w:p>
    <w:p w14:paraId="6AA9A7ED">
      <w:pPr>
        <w:rPr>
          <w:lang w:bidi="ar"/>
        </w:rPr>
      </w:pPr>
      <w:r>
        <w:rPr>
          <w:lang w:bidi="ar"/>
        </w:rPr>
        <w:t>（1）强化安全管理</w:t>
      </w:r>
    </w:p>
    <w:p w14:paraId="47DDCDFF">
      <w:pPr>
        <w:rPr>
          <w:lang w:bidi="ar"/>
        </w:rPr>
      </w:pPr>
      <w:r>
        <w:rPr>
          <w:lang w:bidi="ar"/>
        </w:rPr>
        <w:t>河北宁强制定了详尽的安全操作规程，以规范员工在各类设备和工作环境中的操作行为。这些规程涵盖了从检测设备到生产设备、特种设备的操作要求，此外，公司定期开展安全检查和隐患排查，确保所有设备和工作环境始终处于安全状态。安全检查由专门的安全管理部门负责，涵盖设备运行情况、操作规程执行情况、安全标识设置情况等多个方面。对于发现的安全隐患，公司将及时采取整改措施，并进行复查，确保隐患彻底消除。</w:t>
      </w:r>
    </w:p>
    <w:p w14:paraId="23349AC9">
      <w:pPr>
        <w:jc w:val="center"/>
        <w:rPr>
          <w:lang w:bidi="ar"/>
        </w:rPr>
      </w:pPr>
      <w:r>
        <w:rPr>
          <w:lang w:bidi="ar"/>
        </w:rPr>
        <w:drawing>
          <wp:inline distT="0" distB="0" distL="0" distR="0">
            <wp:extent cx="2225675" cy="1670050"/>
            <wp:effectExtent l="0" t="0" r="3175" b="6350"/>
            <wp:docPr id="15802637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63738"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flipH="1">
                      <a:off x="0" y="0"/>
                      <a:ext cx="2238057" cy="1679150"/>
                    </a:xfrm>
                    <a:prstGeom prst="rect">
                      <a:avLst/>
                    </a:prstGeom>
                    <a:noFill/>
                  </pic:spPr>
                </pic:pic>
              </a:graphicData>
            </a:graphic>
          </wp:inline>
        </w:drawing>
      </w:r>
    </w:p>
    <w:p w14:paraId="3422E11E">
      <w:pPr>
        <w:pStyle w:val="15"/>
        <w:rPr>
          <w:highlight w:val="none"/>
        </w:rPr>
      </w:pPr>
      <w:r>
        <w:rPr>
          <w:rFonts w:hint="eastAsia"/>
          <w:highlight w:val="none"/>
        </w:rPr>
        <w:t>202</w:t>
      </w:r>
      <w:r>
        <w:rPr>
          <w:rFonts w:hint="eastAsia"/>
          <w:highlight w:val="none"/>
          <w:lang w:val="en-US" w:eastAsia="zh-CN"/>
        </w:rPr>
        <w:t>5</w:t>
      </w:r>
      <w:r>
        <w:rPr>
          <w:rFonts w:hint="eastAsia"/>
          <w:highlight w:val="none"/>
        </w:rPr>
        <w:t>年度</w:t>
      </w:r>
      <w:r>
        <w:rPr>
          <w:highlight w:val="none"/>
        </w:rPr>
        <w:t>安全</w:t>
      </w:r>
      <w:r>
        <w:rPr>
          <w:rFonts w:hint="eastAsia"/>
          <w:highlight w:val="none"/>
        </w:rPr>
        <w:t>管理宣贯会</w:t>
      </w:r>
    </w:p>
    <w:p w14:paraId="39231C68">
      <w:pPr>
        <w:rPr>
          <w:lang w:bidi="ar"/>
        </w:rPr>
      </w:pPr>
      <w:r>
        <w:rPr>
          <w:lang w:bidi="ar"/>
        </w:rPr>
        <w:t>（2）提升应急能力</w:t>
      </w:r>
    </w:p>
    <w:p w14:paraId="130599D3">
      <w:pPr>
        <w:rPr>
          <w:lang w:bidi="ar"/>
        </w:rPr>
      </w:pPr>
      <w:r>
        <w:rPr>
          <w:lang w:bidi="ar"/>
        </w:rPr>
        <w:t>公司严格遵守《生产安全事故应急预案管理办法》（安监总局第88号令）等法律法规，积极完善应急预案体系，科学组织全年应急演练活动。公司持续增强应急预案的科学性、针对性、实效性，切实锻炼应急指挥救援人员及全体员工的应急能力，检验应急救援体系，发现、补齐应急短板，实现每年综合预案、现场处置方案演练全覆盖。</w:t>
      </w:r>
    </w:p>
    <w:p w14:paraId="1E19AFB7">
      <w:pPr>
        <w:rPr>
          <w:lang w:bidi="ar"/>
        </w:rPr>
      </w:pPr>
      <w:r>
        <w:rPr>
          <w:rFonts w:hint="eastAsia"/>
          <w:lang w:bidi="ar"/>
        </w:rPr>
        <w:t>公司通过定期的安全生产应急演练，确保所有员工在面对火灾、电气故障、设备故障等紧急情况时，能够冷静处理，快速疏散，最大程度减少安全事故的发生。</w:t>
      </w:r>
    </w:p>
    <w:p w14:paraId="58EAF789">
      <w:pPr>
        <w:pStyle w:val="15"/>
      </w:pPr>
      <w:r>
        <w:drawing>
          <wp:inline distT="0" distB="0" distL="0" distR="0">
            <wp:extent cx="1471295" cy="2159635"/>
            <wp:effectExtent l="0" t="0" r="0" b="0"/>
            <wp:docPr id="9433409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0974"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71759" cy="2160000"/>
                    </a:xfrm>
                    <a:prstGeom prst="rect">
                      <a:avLst/>
                    </a:prstGeom>
                    <a:noFill/>
                  </pic:spPr>
                </pic:pic>
              </a:graphicData>
            </a:graphic>
          </wp:inline>
        </w:drawing>
      </w:r>
      <w:r>
        <w:drawing>
          <wp:inline distT="0" distB="0" distL="0" distR="0">
            <wp:extent cx="1355725" cy="2159635"/>
            <wp:effectExtent l="0" t="0" r="0" b="0"/>
            <wp:docPr id="910951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5137"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55788" cy="2160000"/>
                    </a:xfrm>
                    <a:prstGeom prst="rect">
                      <a:avLst/>
                    </a:prstGeom>
                    <a:noFill/>
                  </pic:spPr>
                </pic:pic>
              </a:graphicData>
            </a:graphic>
          </wp:inline>
        </w:drawing>
      </w:r>
    </w:p>
    <w:p w14:paraId="49273256">
      <w:pPr>
        <w:pStyle w:val="15"/>
      </w:pPr>
      <w:r>
        <w:t>河北宁强</w:t>
      </w:r>
      <w:r>
        <w:rPr>
          <w:rFonts w:hint="eastAsia"/>
        </w:rPr>
        <w:t>部分应急演练台账</w:t>
      </w:r>
    </w:p>
    <w:p w14:paraId="7FC2F8D6">
      <w:pPr>
        <w:rPr>
          <w:lang w:bidi="ar"/>
        </w:rPr>
      </w:pPr>
      <w:r>
        <w:rPr>
          <w:lang w:bidi="ar"/>
        </w:rPr>
        <w:t>（3）隐患排查整治</w:t>
      </w:r>
    </w:p>
    <w:p w14:paraId="75D123A6">
      <w:pPr>
        <w:rPr>
          <w:lang w:bidi="ar"/>
        </w:rPr>
      </w:pPr>
      <w:r>
        <w:rPr>
          <w:lang w:bidi="ar"/>
        </w:rPr>
        <w:t>公司扎实开展各类综合、专项安全检查，落实安全生产重点工作贯彻执行情况，全面查找安全工作中存在的问题和薄弱环节，促进改进提升，</w:t>
      </w:r>
      <w:r>
        <w:rPr>
          <w:rFonts w:hint="eastAsia"/>
          <w:lang w:bidi="ar"/>
        </w:rPr>
        <w:t>执行</w:t>
      </w:r>
      <w:r>
        <w:rPr>
          <w:lang w:bidi="ar"/>
        </w:rPr>
        <w:t>《环境因素识别和评价控制程序》《危险源辨识》等程序文件。公司坚持重点领域拉网式隐患梳理的方式，对起重、危化品、安全用电、危险作业、消防设施等高风险领域组织专项整治，响应安全管理工作的规范要求，适时开展季度性及法定节假日前后安全检查工作，全面消除可能导致不安全事件发生的管理缺陷、物的不安全状态、人的不安全行为和作业环境危害因素。</w:t>
      </w:r>
    </w:p>
    <w:p w14:paraId="73518585">
      <w:pPr>
        <w:rPr>
          <w:lang w:bidi="ar"/>
        </w:rPr>
      </w:pPr>
      <w:r>
        <w:rPr>
          <w:lang w:bidi="ar"/>
        </w:rPr>
        <w:t>（4）安全生产培训</w:t>
      </w:r>
    </w:p>
    <w:p w14:paraId="197C4704">
      <w:pPr>
        <w:rPr>
          <w:lang w:bidi="ar"/>
        </w:rPr>
      </w:pPr>
      <w:r>
        <w:rPr>
          <w:lang w:bidi="ar"/>
        </w:rPr>
        <w:t>公司高度重视安全培训教育管理，规范安全、环保、职业卫生、消防等年度培训开展频次、课时。凡是转岗人员及新员工入职必须经过公司、车间、班组的三级安全教育。凡特种作业人员上岗前必须由市质量技术监督局统一培训并经考核合格发证，并定期复审登记，保证其有效期。</w:t>
      </w:r>
    </w:p>
    <w:p w14:paraId="4FBD1621">
      <w:pPr>
        <w:rPr>
          <w:lang w:bidi="ar"/>
        </w:rPr>
      </w:pPr>
      <w:r>
        <w:rPr>
          <w:lang w:bidi="ar"/>
        </w:rPr>
        <w:t>公司定期开展安全意识培训，提高员工的安全意识和自我防护能力。通过案例分析、事故模拟和安全知识竞赛等形式，让员工充分认识到安全生产的重要性，树立“安全第一”的观念。</w:t>
      </w:r>
    </w:p>
    <w:p w14:paraId="2406DA3D">
      <w:pPr>
        <w:jc w:val="center"/>
        <w:rPr>
          <w:lang w:bidi="ar"/>
        </w:rPr>
      </w:pPr>
      <w:r>
        <w:drawing>
          <wp:inline distT="0" distB="0" distL="0" distR="0">
            <wp:extent cx="1492250" cy="2159635"/>
            <wp:effectExtent l="0" t="0" r="0" b="0"/>
            <wp:docPr id="9471682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6828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92599" cy="2160000"/>
                    </a:xfrm>
                    <a:prstGeom prst="rect">
                      <a:avLst/>
                    </a:prstGeom>
                    <a:noFill/>
                  </pic:spPr>
                </pic:pic>
              </a:graphicData>
            </a:graphic>
          </wp:inline>
        </w:drawing>
      </w:r>
      <w:r>
        <w:rPr>
          <w:lang w:bidi="ar"/>
        </w:rPr>
        <w:drawing>
          <wp:inline distT="0" distB="0" distL="0" distR="0">
            <wp:extent cx="1467485" cy="2159635"/>
            <wp:effectExtent l="0" t="0" r="0" b="0"/>
            <wp:docPr id="227263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6390"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67872" cy="2160000"/>
                    </a:xfrm>
                    <a:prstGeom prst="rect">
                      <a:avLst/>
                    </a:prstGeom>
                    <a:noFill/>
                  </pic:spPr>
                </pic:pic>
              </a:graphicData>
            </a:graphic>
          </wp:inline>
        </w:drawing>
      </w:r>
    </w:p>
    <w:p w14:paraId="35EF1F5E">
      <w:pPr>
        <w:pStyle w:val="15"/>
      </w:pPr>
      <w:r>
        <w:t>安全教育培训签到及考核记录表</w:t>
      </w:r>
    </w:p>
    <w:p w14:paraId="6CA28787">
      <w:pPr>
        <w:pStyle w:val="3"/>
        <w:numPr>
          <w:ilvl w:val="0"/>
          <w:numId w:val="1"/>
        </w:numPr>
        <w:ind w:firstLineChars="0"/>
        <w:rPr>
          <w:rFonts w:ascii="Times New Roman" w:hAnsi="Times New Roman"/>
        </w:rPr>
      </w:pPr>
      <w:bookmarkStart w:id="77" w:name="_Toc185362025"/>
      <w:r>
        <w:rPr>
          <w:rFonts w:hint="eastAsia" w:ascii="Times New Roman" w:hAnsi="Times New Roman"/>
        </w:rPr>
        <w:t>志愿服务与慈善</w:t>
      </w:r>
      <w:bookmarkEnd w:id="77"/>
    </w:p>
    <w:p w14:paraId="43DC4E79">
      <w:pPr>
        <w:rPr>
          <w:lang w:bidi="ar"/>
        </w:rPr>
      </w:pPr>
      <w:r>
        <w:rPr>
          <w:rFonts w:hint="eastAsia"/>
          <w:lang w:bidi="ar"/>
        </w:rPr>
        <w:t>河北宁强公司始终秉承着“回馈社会，助力发展”的企业社会责任理念，积极参与各类志愿服务与慈善活动，致力于通过实际行动改善社会福祉。公司深知，作为一个负责任的企业，除了追求经济效益之外，社会效益同样至关重要。因此，河北宁强将“志愿服务与慈善”作为其企业文化的重要组成部分，鼓励员工和管理层参与到社会服务中，为社会做出积极贡献。</w:t>
      </w:r>
    </w:p>
    <w:p w14:paraId="236C3670">
      <w:pPr>
        <w:rPr>
          <w:lang w:bidi="ar"/>
        </w:rPr>
      </w:pPr>
      <w:r>
        <w:rPr>
          <w:rFonts w:hint="eastAsia"/>
          <w:lang w:bidi="ar"/>
        </w:rPr>
        <w:t>在过去的几年中，河北宁强积极响应社会需求，通过捐款、捐物、提供志愿服务等多种方式，支持教育、医疗、环保等社会公益事业，尤其关注地区的教育资源。</w:t>
      </w:r>
    </w:p>
    <w:p w14:paraId="5E1CCB75">
      <w:pPr>
        <w:rPr>
          <w:lang w:bidi="ar"/>
        </w:rPr>
      </w:pPr>
      <w:r>
        <w:rPr>
          <w:rFonts w:hint="eastAsia"/>
          <w:lang w:bidi="ar"/>
        </w:rPr>
        <w:t>在公益活动中，河北宁强特别重视对教育事业的支持。公司深知教育是改变一个人命运的关键，也是社会进步的重要动力。为了支持贫困地区的学子，河北宁强多次参与到爱心助学项目中，通过捐款、资助学费、提供学习资源等形式，帮助贫困家庭的学生实现求学梦想，走向更广阔的未来，公司荣获河北衡水中学“爱心助学 卓越贡献者”称号。</w:t>
      </w:r>
    </w:p>
    <w:p w14:paraId="0441EC40">
      <w:pPr>
        <w:rPr>
          <w:lang w:bidi="ar"/>
        </w:rPr>
      </w:pPr>
      <w:r>
        <w:rPr>
          <w:rFonts w:hint="eastAsia"/>
          <w:lang w:bidi="ar"/>
        </w:rPr>
        <w:t>公司始终秉承着“以人为本，回馈社会”的理念，积极参与各类志愿服务与慈善活动，未来，公司将通过这些公益活动继续推动社会的和谐发展，并且还将继续扩大在公益事业中的影响力，进一步促进社会福利的改善。</w:t>
      </w:r>
    </w:p>
    <w:p w14:paraId="48D992BE">
      <w:pPr>
        <w:jc w:val="center"/>
        <w:rPr>
          <w:lang w:bidi="ar"/>
        </w:rPr>
      </w:pPr>
      <w:r>
        <w:drawing>
          <wp:inline distT="0" distB="0" distL="0" distR="0">
            <wp:extent cx="1629410" cy="2159635"/>
            <wp:effectExtent l="0" t="0" r="8890" b="0"/>
            <wp:docPr id="1406240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0231" name="图片 1"/>
                    <pic:cNvPicPr>
                      <a:picLocks noChangeAspect="1"/>
                    </pic:cNvPicPr>
                  </pic:nvPicPr>
                  <pic:blipFill>
                    <a:blip r:embed="rId29"/>
                    <a:stretch>
                      <a:fillRect/>
                    </a:stretch>
                  </pic:blipFill>
                  <pic:spPr>
                    <a:xfrm>
                      <a:off x="0" y="0"/>
                      <a:ext cx="1629939" cy="2160000"/>
                    </a:xfrm>
                    <a:prstGeom prst="rect">
                      <a:avLst/>
                    </a:prstGeom>
                  </pic:spPr>
                </pic:pic>
              </a:graphicData>
            </a:graphic>
          </wp:inline>
        </w:drawing>
      </w:r>
      <w:r>
        <w:drawing>
          <wp:inline distT="0" distB="0" distL="0" distR="0">
            <wp:extent cx="1603375" cy="2159635"/>
            <wp:effectExtent l="0" t="0" r="0" b="0"/>
            <wp:docPr id="1512608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08877" name="图片 1"/>
                    <pic:cNvPicPr>
                      <a:picLocks noChangeAspect="1"/>
                    </pic:cNvPicPr>
                  </pic:nvPicPr>
                  <pic:blipFill>
                    <a:blip r:embed="rId30"/>
                    <a:stretch>
                      <a:fillRect/>
                    </a:stretch>
                  </pic:blipFill>
                  <pic:spPr>
                    <a:xfrm>
                      <a:off x="0" y="0"/>
                      <a:ext cx="1603810" cy="2160000"/>
                    </a:xfrm>
                    <a:prstGeom prst="rect">
                      <a:avLst/>
                    </a:prstGeom>
                  </pic:spPr>
                </pic:pic>
              </a:graphicData>
            </a:graphic>
          </wp:inline>
        </w:drawing>
      </w:r>
    </w:p>
    <w:p w14:paraId="1069B3B3">
      <w:pPr>
        <w:pStyle w:val="15"/>
      </w:pPr>
      <w:r>
        <w:rPr>
          <w:rFonts w:hint="eastAsia"/>
        </w:rPr>
        <w:t>爱心助学奖章</w:t>
      </w:r>
    </w:p>
    <w:p w14:paraId="3FC30689">
      <w:pPr>
        <w:spacing w:line="240" w:lineRule="auto"/>
        <w:ind w:firstLine="0" w:firstLineChars="0"/>
        <w:jc w:val="left"/>
        <w:rPr>
          <w:b/>
          <w:bCs/>
          <w:sz w:val="22"/>
          <w:szCs w:val="22"/>
        </w:rPr>
      </w:pPr>
      <w:r>
        <w:br w:type="page"/>
      </w:r>
    </w:p>
    <w:p w14:paraId="606D1116">
      <w:pPr>
        <w:pStyle w:val="15"/>
      </w:pPr>
    </w:p>
    <w:p w14:paraId="31931E62">
      <w:pPr>
        <w:pStyle w:val="2"/>
        <w:ind w:left="560"/>
      </w:pPr>
      <w:bookmarkStart w:id="78" w:name="_Toc185362026"/>
      <w:r>
        <w:t>治理篇：价值导向 筑牢治理之根</w:t>
      </w:r>
      <w:bookmarkEnd w:id="78"/>
    </w:p>
    <w:p w14:paraId="74016925">
      <w:pPr>
        <w:pStyle w:val="3"/>
        <w:ind w:firstLine="562"/>
        <w:rPr>
          <w:rFonts w:ascii="Times New Roman" w:hAnsi="Times New Roman"/>
        </w:rPr>
      </w:pPr>
      <w:bookmarkStart w:id="79" w:name="_Toc185362027"/>
      <w:r>
        <w:rPr>
          <w:rFonts w:ascii="Times New Roman" w:hAnsi="Times New Roman"/>
        </w:rPr>
        <w:t>（一）规范公司治理</w:t>
      </w:r>
      <w:bookmarkEnd w:id="79"/>
    </w:p>
    <w:p w14:paraId="752B9E95">
      <w:r>
        <w:t>公司治理是公司健康稳定发展的基础，更是提升核心竞争力和实现可持续发展的保障。河北宁强秉持价值创造、守正创新、依法合规的治理理念，扎实推进治理体系和治理能力现代化，确保决策科学、制衡有效、运作规范、监督有力。</w:t>
      </w:r>
    </w:p>
    <w:p w14:paraId="256FBAEF">
      <w:pPr>
        <w:pStyle w:val="4"/>
        <w:spacing w:before="31" w:after="31"/>
        <w:ind w:firstLine="562"/>
      </w:pPr>
      <w:bookmarkStart w:id="80" w:name="_Toc185362028"/>
      <w:r>
        <w:t>1.</w:t>
      </w:r>
      <w:r>
        <w:rPr>
          <w:rFonts w:hint="eastAsia"/>
        </w:rPr>
        <w:t>公司组织架构</w:t>
      </w:r>
      <w:bookmarkEnd w:id="80"/>
    </w:p>
    <w:p w14:paraId="4A631F97">
      <w:r>
        <w:rPr>
          <w:rFonts w:hint="eastAsia"/>
        </w:rPr>
        <w:t>公司按照现代企业制度要求，坚持深化改革，不断加强组织体系建设，持续完善公司现代化治理体系及治理能力，全面建成规范、完善的公司治理体系，优化决策机制，提升运转效能。</w:t>
      </w:r>
    </w:p>
    <w:p w14:paraId="089A349B">
      <w:pPr>
        <w:jc w:val="center"/>
      </w:pPr>
      <w:r>
        <w:drawing>
          <wp:inline distT="0" distB="0" distL="0" distR="0">
            <wp:extent cx="2917190" cy="2159635"/>
            <wp:effectExtent l="0" t="0" r="0" b="0"/>
            <wp:docPr id="10701980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98020"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17229" cy="2160000"/>
                    </a:xfrm>
                    <a:prstGeom prst="rect">
                      <a:avLst/>
                    </a:prstGeom>
                    <a:noFill/>
                    <a:ln>
                      <a:noFill/>
                    </a:ln>
                  </pic:spPr>
                </pic:pic>
              </a:graphicData>
            </a:graphic>
          </wp:inline>
        </w:drawing>
      </w:r>
    </w:p>
    <w:p w14:paraId="1EE0C679">
      <w:pPr>
        <w:pStyle w:val="15"/>
      </w:pPr>
      <w:r>
        <w:t>河北宁强</w:t>
      </w:r>
      <w:r>
        <w:rPr>
          <w:rFonts w:hint="eastAsia"/>
        </w:rPr>
        <w:t>组织架构图</w:t>
      </w:r>
    </w:p>
    <w:p w14:paraId="59D906BD">
      <w:bookmarkStart w:id="81" w:name="_Hlk185363480"/>
      <w:r>
        <w:rPr>
          <w:rFonts w:hint="eastAsia"/>
        </w:rPr>
        <w:t>公司治理结构规范且高效，确保企业运营的有序推进。公司治理架构中，由总经理全面负责企业整体运营，并根据管理需要设立生产副总、技术副总（总工）和销售副总等核心管理岗位，明确权责分工，保障治理体系的高效运转。其中，生产副总领导的杆塔分部和角钢分部分工细致，涵盖生产管理、安全保障及设备运维等多个环节，确保生产过程科学规范。杆塔分部包括主控车间、支管车间及附件车间等，负责产品的制造与包装管理；角钢分部下辖下料车间、试组车间与包装车间等，着力于各环节的精细化操作，有效提升生产效率和产品质量。</w:t>
      </w:r>
    </w:p>
    <w:p w14:paraId="73A632C5">
      <w:r>
        <w:rPr>
          <w:rFonts w:hint="eastAsia"/>
        </w:rPr>
        <w:t>在技术与质量管理方面，由技术副总（总工）统筹管理技术部与质检部，形成技术创新与质量控制的双重保障机制。技术部聚焦产品研发与工艺改进，设立杆塔、角钢及样板等小组，以不断优化工艺流程，推动技术升级。同时，质量管理部门通过质管部和质检部，严格落实产品的质量监控与检验，确保产品符合行业标准及客户需求。此外，质检实验室的设置为质量控制提供了数据支持，进一步巩固了企业的质量管理体系</w:t>
      </w:r>
      <w:bookmarkEnd w:id="81"/>
      <w:r>
        <w:t>。</w:t>
      </w:r>
    </w:p>
    <w:p w14:paraId="46568EB0">
      <w:pPr>
        <w:pStyle w:val="4"/>
        <w:spacing w:before="31" w:after="31"/>
        <w:ind w:firstLine="562"/>
      </w:pPr>
      <w:bookmarkStart w:id="82" w:name="_Toc185362029"/>
      <w:r>
        <w:t>2.强化合规风控</w:t>
      </w:r>
      <w:bookmarkEnd w:id="82"/>
    </w:p>
    <w:p w14:paraId="01ACD8EC">
      <w:r>
        <w:t>公司严格遵守国资委《中央企业全面风险管理指引》，</w:t>
      </w:r>
      <w:r>
        <w:rPr>
          <w:rFonts w:hint="eastAsia"/>
        </w:rPr>
        <w:t>执行</w:t>
      </w:r>
      <w:r>
        <w:t>《风险管理体系》《风险和机遇的应对措施控制程序》以及相关风险管理制度要求，致力确保其运营合法合规、高效运作，助力长期可持续发展。</w:t>
      </w:r>
    </w:p>
    <w:p w14:paraId="5F0A872F">
      <w:r>
        <w:t>公司高度重视内控体系建设与监督工作，积极开展年度全面风险评估工作，针对现有和潜在风险点，提出风险应对措施，降低重大风险敞口，将风险控制在可控范围，实现风险与机会、成本与效益最优化。</w:t>
      </w:r>
    </w:p>
    <w:p w14:paraId="31F111C9">
      <w:pPr>
        <w:pStyle w:val="3"/>
        <w:numPr>
          <w:ilvl w:val="0"/>
          <w:numId w:val="2"/>
        </w:numPr>
        <w:ind w:firstLineChars="0"/>
        <w:rPr>
          <w:rFonts w:ascii="Times New Roman" w:hAnsi="Times New Roman"/>
        </w:rPr>
      </w:pPr>
      <w:bookmarkStart w:id="83" w:name="_Toc185362030"/>
      <w:r>
        <w:rPr>
          <w:rFonts w:ascii="Times New Roman" w:hAnsi="Times New Roman"/>
        </w:rPr>
        <w:t>践行商业道德</w:t>
      </w:r>
      <w:bookmarkEnd w:id="83"/>
    </w:p>
    <w:p w14:paraId="0844123B">
      <w:r>
        <w:t>诚信是社会契约的前提，道德是商业文明的基石。恪守商业道德，是公司应尽的主体责任和义务。河北宁强注重党风廉政和反贪腐建设，致力营造公平公正的商业环境，对徇私舞弊行为坚决秉持零容忍态度，涵养有道德操守、持廉守正的内部生态，促进行业和社会正向发展。</w:t>
      </w:r>
    </w:p>
    <w:p w14:paraId="367C1C7A">
      <w:pPr>
        <w:pStyle w:val="4"/>
        <w:spacing w:before="31" w:after="31"/>
        <w:ind w:firstLine="562"/>
      </w:pPr>
      <w:bookmarkStart w:id="84" w:name="_Toc185362031"/>
      <w:bookmarkStart w:id="85" w:name="_Toc30027"/>
      <w:bookmarkStart w:id="86" w:name="_Toc27942"/>
      <w:r>
        <w:t>1.培育廉洁清风</w:t>
      </w:r>
      <w:bookmarkEnd w:id="84"/>
    </w:p>
    <w:p w14:paraId="525D5341">
      <w:bookmarkStart w:id="87" w:name="_Hlk185363867"/>
      <w:r>
        <w:t>公司以习近平新时代中国特色社会主义思想为指导，深入学习贯彻党的二十大精神，全面贯彻习近平总书记重要讲话</w:t>
      </w:r>
      <w:r>
        <w:rPr>
          <w:rFonts w:hint="eastAsia"/>
        </w:rPr>
        <w:t>和</w:t>
      </w:r>
      <w:r>
        <w:t>精神，贯彻落实集团党建工作会议、党风廉政建设和反腐败工作会议暨警示教育大会要求，以更严的基调、更严的措施、更严的氛围贯彻全面从严治党战略部署，强化政治监督，深化专项整治，持续加大正风肃纪反腐工作力度，推动党风廉政建设和反腐败工作取得新成效。</w:t>
      </w:r>
    </w:p>
    <w:p w14:paraId="614FC3C5">
      <w:r>
        <w:t>河北宁强一直以来重视廉洁文化建设，致力于培育清正廉洁的企业风气，确保企业健康可持续发展。公司积极贯彻落实《中华人民共和国反腐败法》《中国共产党廉洁自律准则》和《中华人民共和国监察法》等法律法规，从制度上保障了廉洁建设的有效实施。</w:t>
      </w:r>
    </w:p>
    <w:p w14:paraId="4C1650A1">
      <w:r>
        <w:t>在廉洁文化建设方面，公司形成了全员参与、全方位覆盖的廉洁教育机制。公司定期开展廉洁教育培训，提高员工的廉洁意识和法律法规知识。通过设立内部举报渠道，公司鼓励员工和利益相关方对违反廉洁纪律的行为进行举报，保障举报人的合法权益，形成了有效的监督机制。</w:t>
      </w:r>
    </w:p>
    <w:p w14:paraId="0F201831">
      <w:r>
        <w:t>此外，公司还积极推动廉洁文化的落地实施。通过建立廉洁考核评价体系，将廉洁从业情况纳入绩效考核内容，确保每一位员工在日常工作中能够自觉遵守廉洁纪律，做到“不敢腐、不能腐、不想腐”。公司定期开展廉洁风险排查，识别和防范可能存在的廉洁风险，确保廉洁建设的常态化、长效化。未来，河北宁强将继续深化廉洁文化建设，营造风清气正的企业环境，推动企业高质量发展</w:t>
      </w:r>
      <w:bookmarkEnd w:id="87"/>
      <w:r>
        <w:t>。</w:t>
      </w:r>
    </w:p>
    <w:p w14:paraId="5D4CD243">
      <w:r>
        <w:t>举报电话</w:t>
      </w:r>
      <w:r>
        <w:rPr>
          <w:rFonts w:hint="eastAsia"/>
        </w:rPr>
        <w:t>0318-2172981</w:t>
      </w:r>
    </w:p>
    <w:p w14:paraId="672B3299">
      <w:r>
        <w:t>举报邮箱：xinxin@ningqianggs.com</w:t>
      </w:r>
    </w:p>
    <w:p w14:paraId="7F4104C0">
      <w:r>
        <w:t>举报邮寄地址：</w:t>
      </w:r>
      <w:r>
        <w:rPr>
          <w:rFonts w:hint="eastAsia"/>
        </w:rPr>
        <w:t>河北省衡水市高新区滏阳三路西侧、新区六路北侧</w:t>
      </w:r>
    </w:p>
    <w:bookmarkEnd w:id="85"/>
    <w:bookmarkEnd w:id="86"/>
    <w:p w14:paraId="7C602C89">
      <w:pPr>
        <w:pStyle w:val="4"/>
        <w:spacing w:before="31" w:after="31"/>
        <w:ind w:firstLine="562"/>
      </w:pPr>
      <w:bookmarkStart w:id="88" w:name="_Toc185362032"/>
      <w:r>
        <w:t>2.商业道德规范</w:t>
      </w:r>
      <w:bookmarkEnd w:id="88"/>
    </w:p>
    <w:p w14:paraId="10998E77">
      <w:r>
        <w:t>公司严格遵守《中华人民共和国反不正当竞争法》《中华人民共和国反垄断法》等法律法规，以自愿、平等、公平、诚信原则开展商业经营活动，积极引导员工保持良好的商业行为，维护行业正当竞争秩序。202</w:t>
      </w:r>
      <w:r>
        <w:rPr>
          <w:rFonts w:hint="eastAsia"/>
          <w:lang w:val="en-US" w:eastAsia="zh-CN"/>
        </w:rPr>
        <w:t>5</w:t>
      </w:r>
      <w:r>
        <w:t>年，公司未发生任何形式的商业贿赂、不正当竞争行为。</w:t>
      </w:r>
    </w:p>
    <w:p w14:paraId="6DFB2718">
      <w:r>
        <w:t>公司自觉遵守社会主义市场经济体制下的竞争规则</w:t>
      </w:r>
      <w:r>
        <w:rPr>
          <w:rFonts w:hint="eastAsia"/>
        </w:rPr>
        <w:t>，</w:t>
      </w:r>
      <w:r>
        <w:t>持续关注和跟踪税收法律法规政策的更新和变化，规范履行纳税义务，合理安排税收筹划，依法披露税务信息，按时申报和缴纳税项，严禁非法偷税、漏税行为。公司强化税务风险管控，常态化开展税务自查，定期聘请外部专业税务师事务所审视日常生产经营和业务交易过程中的涉税行为和类型，有效管理税务风险。</w:t>
      </w:r>
      <w:r>
        <w:rPr>
          <w:highlight w:val="none"/>
        </w:rPr>
        <w:t>202</w:t>
      </w:r>
      <w:r>
        <w:rPr>
          <w:rFonts w:hint="eastAsia"/>
          <w:highlight w:val="none"/>
          <w:lang w:val="en-US" w:eastAsia="zh-CN"/>
        </w:rPr>
        <w:t>5</w:t>
      </w:r>
      <w:r>
        <w:rPr>
          <w:highlight w:val="none"/>
        </w:rPr>
        <w:t>年，</w:t>
      </w:r>
      <w:bookmarkStart w:id="89" w:name="_Hlk185364046"/>
      <w:r>
        <w:t>公司</w:t>
      </w:r>
      <w:r>
        <w:rPr>
          <w:rFonts w:hint="eastAsia"/>
        </w:rPr>
        <w:t>应交税金缴纳完毕</w:t>
      </w:r>
      <w:bookmarkEnd w:id="89"/>
      <w:r>
        <w:t>，未发生涉税违规事件。</w:t>
      </w:r>
    </w:p>
    <w:p w14:paraId="5717C8F1">
      <w:pPr>
        <w:pStyle w:val="3"/>
        <w:ind w:firstLine="562"/>
        <w:rPr>
          <w:rFonts w:ascii="Times New Roman" w:hAnsi="Times New Roman"/>
        </w:rPr>
      </w:pPr>
      <w:bookmarkStart w:id="90" w:name="_Toc185362033"/>
      <w:r>
        <w:rPr>
          <w:rFonts w:ascii="Times New Roman" w:hAnsi="Times New Roman"/>
        </w:rPr>
        <w:t>（三）创新驱动发展</w:t>
      </w:r>
      <w:bookmarkEnd w:id="90"/>
    </w:p>
    <w:p w14:paraId="46849DE4">
      <w:bookmarkStart w:id="91" w:name="_Hlk185363930"/>
      <w:r>
        <w:t>创新是推动可持续发展的重要动力，是公司生命力的不竭源泉。河北宁强完善科技创新体系，持续加大科技创新投入，提升科研基础能力，优化创新全链条、内外部资源系统联合，不断提升公司创新发展能力和产业贡献价值，推动公司转型发展。</w:t>
      </w:r>
    </w:p>
    <w:p w14:paraId="68AA1396">
      <w:r>
        <w:t>公司近年来致力专项技术攻关，在技术研发方面取得了显著成绩。公司共</w:t>
      </w:r>
      <w:r>
        <w:rPr>
          <w:highlight w:val="none"/>
        </w:rPr>
        <w:t>获得专利</w:t>
      </w:r>
      <w:r>
        <w:rPr>
          <w:rFonts w:hint="eastAsia"/>
          <w:highlight w:val="none"/>
          <w:lang w:val="en-US" w:eastAsia="zh-CN"/>
        </w:rPr>
        <w:t>22</w:t>
      </w:r>
      <w:r>
        <w:rPr>
          <w:highlight w:val="none"/>
        </w:rPr>
        <w:t>份</w:t>
      </w:r>
      <w:r>
        <w:rPr>
          <w:rFonts w:hint="eastAsia"/>
        </w:rPr>
        <w:t>，涵括角钢塔加工工艺及气保焊机等</w:t>
      </w:r>
      <w:r>
        <w:t>。此外，公司还重点围绕</w:t>
      </w:r>
      <w:r>
        <w:rPr>
          <w:rFonts w:hint="eastAsia"/>
        </w:rPr>
        <w:t>加工</w:t>
      </w:r>
      <w:r>
        <w:t>工艺不断突破，优化了</w:t>
      </w:r>
      <w:r>
        <w:rPr>
          <w:rFonts w:hint="eastAsia"/>
        </w:rPr>
        <w:t>切割</w:t>
      </w:r>
      <w:r>
        <w:t>工艺，提高了生产效率和安全性，进一步巩固了公司在行业中的技术领先地位​。</w:t>
      </w:r>
    </w:p>
    <w:p w14:paraId="5FBE4093">
      <w:r>
        <w:t>公司高度重视知识产权保护，全面执行《公司知识产权管理暂行办法》《知识产权保密条例》《专利申请管理制度》等内部规章，积极开展专利申请和维权工作，尊重和保护自有技术创新成果。同时公司在研发投入方面保持较高比例，持续加大科技创新资金投入，建立了科学的研发管理体系，确保研发工作的高效推进。通过引进高端技术人才，完善人才激励机制，公司逐步形成了一支高素质的研发队伍。未来，公司将继续以市场需求为导向，不断推进技术创新，提升企业核心竞争力，为推动行业技术进步作出更大贡献</w:t>
      </w:r>
      <w:bookmarkEnd w:id="91"/>
      <w:r>
        <w:t>。</w:t>
      </w:r>
    </w:p>
    <w:p w14:paraId="20C03480">
      <w:pPr>
        <w:pStyle w:val="3"/>
        <w:ind w:firstLine="562"/>
        <w:rPr>
          <w:rFonts w:ascii="Times New Roman" w:hAnsi="Times New Roman"/>
        </w:rPr>
      </w:pPr>
      <w:bookmarkStart w:id="92" w:name="_Toc185362034"/>
      <w:r>
        <w:rPr>
          <w:rFonts w:ascii="Times New Roman" w:hAnsi="Times New Roman"/>
        </w:rPr>
        <w:t>（四）追求卓越品质</w:t>
      </w:r>
      <w:bookmarkEnd w:id="92"/>
    </w:p>
    <w:p w14:paraId="08AAD7F6">
      <w:r>
        <w:t>执着专注、精益求精、一丝不苟、追求卓越是工匠精神的深刻内涵。河北宁强持续完善产品服务体系建设，始终将追求卓越品质作为企业发展的核心目标，通过不断提升产品质量和优化客户服务，确保为客户提供高质量的产品和优质的服务体验。以十分努力换取用户百分满意，为电力事业发展做出贡献。</w:t>
      </w:r>
    </w:p>
    <w:p w14:paraId="1D2BBA75">
      <w:pPr>
        <w:pStyle w:val="4"/>
        <w:spacing w:before="31" w:after="31"/>
        <w:ind w:firstLine="562"/>
      </w:pPr>
      <w:bookmarkStart w:id="93" w:name="_Toc185362035"/>
      <w:r>
        <w:t>1.提升产品质量</w:t>
      </w:r>
      <w:bookmarkEnd w:id="93"/>
    </w:p>
    <w:p w14:paraId="319CD5EC">
      <w:bookmarkStart w:id="94" w:name="_Hlk185363900"/>
      <w:r>
        <w:t>公司严格遵守《中华人民共和国产品质量法》《中华人民共和国标准化法》《产品质量监督试行办法》等法律法规，建立了系统的质量管理体系和客户服务体系，致力于提升客户满意度和市场竞争力。</w:t>
      </w:r>
    </w:p>
    <w:p w14:paraId="68C79A25">
      <w:r>
        <w:t>公司高度重视产品质量管理，建立了完善的质量管理体系，</w:t>
      </w:r>
      <w:r>
        <w:rPr>
          <w:rFonts w:hint="eastAsia"/>
        </w:rPr>
        <w:t>执行</w:t>
      </w:r>
      <w:r>
        <w:t>《产品的监视和测量控制程序》《不合格品控制程序》等文件，涵盖产品设计、原材料采购、生产制造、质量检测等各个环节。公司严格按照相关质量管理体系标准，实施全程质量控制，确保产品质量的稳定和可靠。公司设立了专门的质量管理部门，配备了专业的质量管理人员，负责产品质量的监督和管理。</w:t>
      </w:r>
    </w:p>
    <w:bookmarkEnd w:id="94"/>
    <w:p w14:paraId="263A6BB8">
      <w:pPr>
        <w:keepNext w:val="0"/>
        <w:keepLines w:val="0"/>
        <w:widowControl/>
        <w:suppressLineNumbers w:val="0"/>
        <w:ind w:firstLine="560" w:firstLineChars="200"/>
        <w:jc w:val="left"/>
        <w:rPr>
          <w:rFonts w:hint="eastAsia" w:ascii="宋体" w:hAnsi="宋体" w:eastAsia="宋体" w:cs="宋体"/>
          <w:sz w:val="28"/>
          <w:szCs w:val="28"/>
          <w:lang w:bidi="ar"/>
        </w:rPr>
      </w:pPr>
      <w:r>
        <w:rPr>
          <w:rFonts w:hint="eastAsia" w:ascii="宋体" w:hAnsi="宋体" w:eastAsia="宋体" w:cs="宋体"/>
          <w:sz w:val="28"/>
          <w:szCs w:val="28"/>
          <w:highlight w:val="none"/>
          <w:lang w:bidi="ar"/>
        </w:rPr>
        <w:t xml:space="preserve">公司已获得GB/T 24001-2016/ISO </w:t>
      </w:r>
      <w:r>
        <w:rPr>
          <w:rFonts w:hint="eastAsia" w:ascii="宋体" w:hAnsi="宋体" w:eastAsia="宋体" w:cs="宋体"/>
          <w:sz w:val="28"/>
          <w:szCs w:val="28"/>
          <w:highlight w:val="none"/>
          <w:lang w:val="en-US" w:eastAsia="zh-CN" w:bidi="ar"/>
        </w:rPr>
        <w:t>9</w:t>
      </w:r>
      <w:r>
        <w:rPr>
          <w:rFonts w:hint="eastAsia" w:ascii="宋体" w:hAnsi="宋体" w:eastAsia="宋体" w:cs="宋体"/>
          <w:sz w:val="28"/>
          <w:szCs w:val="28"/>
          <w:highlight w:val="none"/>
          <w:lang w:bidi="ar"/>
        </w:rPr>
        <w:t>001:2015环境管理体系认证（有效期自202</w:t>
      </w:r>
      <w:r>
        <w:rPr>
          <w:rFonts w:hint="eastAsia" w:ascii="宋体" w:hAnsi="宋体" w:eastAsia="宋体" w:cs="宋体"/>
          <w:sz w:val="28"/>
          <w:szCs w:val="28"/>
          <w:highlight w:val="none"/>
          <w:lang w:val="en-US" w:eastAsia="zh-CN" w:bidi="ar"/>
        </w:rPr>
        <w:t>4</w:t>
      </w:r>
      <w:r>
        <w:rPr>
          <w:rFonts w:hint="eastAsia" w:ascii="宋体" w:hAnsi="宋体" w:eastAsia="宋体" w:cs="宋体"/>
          <w:sz w:val="28"/>
          <w:szCs w:val="28"/>
          <w:highlight w:val="none"/>
          <w:lang w:bidi="ar"/>
        </w:rPr>
        <w:t>年08月2</w:t>
      </w:r>
      <w:r>
        <w:rPr>
          <w:rFonts w:hint="eastAsia" w:ascii="宋体" w:hAnsi="宋体" w:eastAsia="宋体" w:cs="宋体"/>
          <w:sz w:val="28"/>
          <w:szCs w:val="28"/>
          <w:highlight w:val="none"/>
          <w:lang w:val="en-US" w:eastAsia="zh-CN" w:bidi="ar"/>
        </w:rPr>
        <w:t>3</w:t>
      </w:r>
      <w:r>
        <w:rPr>
          <w:rFonts w:hint="eastAsia" w:ascii="宋体" w:hAnsi="宋体" w:eastAsia="宋体" w:cs="宋体"/>
          <w:sz w:val="28"/>
          <w:szCs w:val="28"/>
          <w:highlight w:val="none"/>
          <w:lang w:bidi="ar"/>
        </w:rPr>
        <w:t>日至202</w:t>
      </w:r>
      <w:r>
        <w:rPr>
          <w:rFonts w:hint="eastAsia" w:ascii="宋体" w:hAnsi="宋体" w:eastAsia="宋体" w:cs="宋体"/>
          <w:sz w:val="28"/>
          <w:szCs w:val="28"/>
          <w:highlight w:val="none"/>
          <w:lang w:val="en-US" w:eastAsia="zh-CN" w:bidi="ar"/>
        </w:rPr>
        <w:t>7</w:t>
      </w:r>
      <w:r>
        <w:rPr>
          <w:rFonts w:hint="eastAsia" w:ascii="宋体" w:hAnsi="宋体" w:eastAsia="宋体" w:cs="宋体"/>
          <w:sz w:val="28"/>
          <w:szCs w:val="28"/>
          <w:highlight w:val="none"/>
          <w:lang w:bidi="ar"/>
        </w:rPr>
        <w:t>年08月2</w:t>
      </w:r>
      <w:r>
        <w:rPr>
          <w:rFonts w:hint="eastAsia" w:ascii="宋体" w:hAnsi="宋体" w:eastAsia="宋体" w:cs="宋体"/>
          <w:sz w:val="28"/>
          <w:szCs w:val="28"/>
          <w:highlight w:val="none"/>
          <w:lang w:val="en-US" w:eastAsia="zh-CN" w:bidi="ar"/>
        </w:rPr>
        <w:t>2</w:t>
      </w:r>
      <w:r>
        <w:rPr>
          <w:rFonts w:hint="eastAsia" w:ascii="宋体" w:hAnsi="宋体" w:eastAsia="宋体" w:cs="宋体"/>
          <w:sz w:val="28"/>
          <w:szCs w:val="28"/>
          <w:highlight w:val="none"/>
          <w:lang w:bidi="ar"/>
        </w:rPr>
        <w:t>日），认证范围覆盖</w:t>
      </w:r>
      <w:r>
        <w:rPr>
          <w:rFonts w:hint="eastAsia" w:ascii="宋体" w:hAnsi="宋体" w:eastAsia="宋体" w:cs="宋体"/>
          <w:b w:val="0"/>
          <w:bCs w:val="0"/>
          <w:color w:val="000000"/>
          <w:kern w:val="0"/>
          <w:sz w:val="28"/>
          <w:szCs w:val="28"/>
          <w:highlight w:val="none"/>
          <w:lang w:val="en-US" w:eastAsia="zh-CN" w:bidi="ar"/>
        </w:rPr>
        <w:t>输电线路铁塔、钢管塔、钢管杆、变电站构支架；铁</w:t>
      </w:r>
      <w:r>
        <w:rPr>
          <w:rFonts w:hint="eastAsia" w:ascii="宋体" w:hAnsi="宋体" w:eastAsia="宋体" w:cs="宋体"/>
          <w:b w:val="0"/>
          <w:bCs w:val="0"/>
          <w:color w:val="000000"/>
          <w:kern w:val="0"/>
          <w:sz w:val="28"/>
          <w:szCs w:val="28"/>
          <w:lang w:val="en-US" w:eastAsia="zh-CN" w:bidi="ar"/>
        </w:rPr>
        <w:t>附件（横担、抱箍、拉线棒、顶架、 接地铁、拉攀）；地脚螺栓；风力发电机塔架；微波通信塔；波纹涵管；照明设施 （高杆灯、路灯、空心阴极灯、庭院灯的灯杆）及钢结构件的制造涉及的环境管理活动</w:t>
      </w:r>
      <w:r>
        <w:rPr>
          <w:rFonts w:hint="eastAsia" w:ascii="宋体" w:hAnsi="宋体" w:eastAsia="宋体" w:cs="宋体"/>
          <w:b w:val="0"/>
          <w:bCs w:val="0"/>
          <w:sz w:val="28"/>
          <w:szCs w:val="28"/>
          <w:lang w:bidi="ar"/>
        </w:rPr>
        <w:t>，</w:t>
      </w:r>
      <w:r>
        <w:rPr>
          <w:rFonts w:hint="eastAsia" w:ascii="宋体" w:hAnsi="宋体" w:eastAsia="宋体" w:cs="宋体"/>
          <w:sz w:val="28"/>
          <w:szCs w:val="28"/>
          <w:lang w:bidi="ar"/>
        </w:rPr>
        <w:t>并通过第三方机构监督审核，保障管理体系有效运转。</w:t>
      </w:r>
    </w:p>
    <w:p w14:paraId="289FA0D7"/>
    <w:p w14:paraId="36A38EFF">
      <w:pPr>
        <w:ind w:firstLine="0" w:firstLineChars="0"/>
        <w:jc w:val="center"/>
      </w:pPr>
      <w:r>
        <w:drawing>
          <wp:inline distT="0" distB="0" distL="114300" distR="114300">
            <wp:extent cx="2757170" cy="3895090"/>
            <wp:effectExtent l="0" t="0" r="508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2757170" cy="3895090"/>
                    </a:xfrm>
                    <a:prstGeom prst="rect">
                      <a:avLst/>
                    </a:prstGeom>
                    <a:noFill/>
                    <a:ln>
                      <a:noFill/>
                    </a:ln>
                  </pic:spPr>
                </pic:pic>
              </a:graphicData>
            </a:graphic>
          </wp:inline>
        </w:drawing>
      </w:r>
    </w:p>
    <w:p w14:paraId="3BB1A2BB">
      <w:pPr>
        <w:pStyle w:val="15"/>
        <w:ind w:firstLine="0" w:firstLineChars="0"/>
      </w:pPr>
      <w:r>
        <w:t>质量管理体系认证证书</w:t>
      </w:r>
    </w:p>
    <w:p w14:paraId="28BCAE76">
      <w:pPr>
        <w:pStyle w:val="4"/>
        <w:spacing w:before="31" w:after="31"/>
        <w:ind w:firstLine="562"/>
      </w:pPr>
      <w:bookmarkStart w:id="95" w:name="_Toc185362036"/>
      <w:r>
        <w:t>2.</w:t>
      </w:r>
      <w:bookmarkStart w:id="96" w:name="_Toc28504"/>
      <w:bookmarkStart w:id="97" w:name="_Toc23836"/>
      <w:r>
        <w:t>优化客户服务</w:t>
      </w:r>
      <w:bookmarkEnd w:id="95"/>
      <w:bookmarkEnd w:id="96"/>
      <w:bookmarkEnd w:id="97"/>
    </w:p>
    <w:p w14:paraId="697DA621">
      <w:r>
        <w:t>在客户服务方面，河北宁强始终坚持“客户至上”的服务理念，致力于为客户提供全方位、高品质的服务。公司建立了完善的客户服务体系，通过设立专门的客户服务部门，配备专业的服务团队，确保客户在产品选型、技术咨询、售后服务等方面能够得到及时、专业的支持和帮助。</w:t>
      </w:r>
    </w:p>
    <w:p w14:paraId="145B21D9">
      <w:r>
        <w:t>公司通过建立《顾客满意程度测量程序》等客户反馈机制，及时了解和解决客户在使用产品过程中遇到的问题，不断改进和提升产品和服务质量。此外，公司还定期开展客户满意度调查，积极听取客户的意见和建议，并将其作为改进和优化服务的重要依据。通过不断优化客户服务流程，提升服务响应速度和处理效率，公司成功建立了良好的客户关系，赢得了客户的信赖和好评。</w:t>
      </w:r>
    </w:p>
    <w:p w14:paraId="072E3DDA">
      <w:r>
        <w:t>未来，公司将继续秉持“质量第一，客户至上”的原则，不断提升产品质量和服务水平，努力为客户创造更大的价值。通过持续创新和改进，公司将不断提升市场竞争力，实现企业的可持续发展。</w:t>
      </w:r>
    </w:p>
    <w:p w14:paraId="14079AA2">
      <w:pPr>
        <w:ind w:firstLine="0" w:firstLineChars="0"/>
        <w:jc w:val="center"/>
      </w:pPr>
      <w:r>
        <w:drawing>
          <wp:inline distT="0" distB="0" distL="0" distR="0">
            <wp:extent cx="1546860" cy="2159635"/>
            <wp:effectExtent l="0" t="0" r="15240" b="12065"/>
            <wp:docPr id="759938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38681" name="图片 1"/>
                    <pic:cNvPicPr>
                      <a:picLocks noChangeAspect="1"/>
                    </pic:cNvPicPr>
                  </pic:nvPicPr>
                  <pic:blipFill>
                    <a:blip r:embed="rId33"/>
                    <a:stretch>
                      <a:fillRect/>
                    </a:stretch>
                  </pic:blipFill>
                  <pic:spPr>
                    <a:xfrm>
                      <a:off x="0" y="0"/>
                      <a:ext cx="1547358" cy="2160000"/>
                    </a:xfrm>
                    <a:prstGeom prst="rect">
                      <a:avLst/>
                    </a:prstGeom>
                  </pic:spPr>
                </pic:pic>
              </a:graphicData>
            </a:graphic>
          </wp:inline>
        </w:drawing>
      </w:r>
    </w:p>
    <w:p w14:paraId="02C3E271">
      <w:pPr>
        <w:pStyle w:val="15"/>
        <w:ind w:firstLine="0" w:firstLineChars="0"/>
      </w:pPr>
      <w:r>
        <w:rPr>
          <w:rFonts w:hint="eastAsia"/>
        </w:rPr>
        <w:t>顾客满意度调查表</w:t>
      </w:r>
    </w:p>
    <w:p w14:paraId="2FD2B543">
      <w:pPr>
        <w:pStyle w:val="3"/>
        <w:ind w:firstLine="562"/>
        <w:rPr>
          <w:rFonts w:ascii="Times New Roman" w:hAnsi="Times New Roman"/>
        </w:rPr>
      </w:pPr>
      <w:bookmarkStart w:id="98" w:name="_Toc185362037"/>
      <w:r>
        <w:rPr>
          <w:rFonts w:ascii="Times New Roman" w:hAnsi="Times New Roman"/>
        </w:rPr>
        <w:t>（五）保障信息安全</w:t>
      </w:r>
      <w:bookmarkEnd w:id="98"/>
    </w:p>
    <w:p w14:paraId="41808543">
      <w:bookmarkStart w:id="99" w:name="_Hlk185363953"/>
      <w:r>
        <w:t>在信息化飞速发展的今天，保障信息安全已成为企业管理的重要一环。河北宁强严格遵守《中华人民共和国网络安全法》《中华人民共和国个人信息保护法》《信息安全技术 网络安全等级保护基本要求》等法律法规，建立了完善的信息安全管理体系，确保企业信息及客户数据的安全与隐私保护。</w:t>
      </w:r>
    </w:p>
    <w:p w14:paraId="7A85357A">
      <w:r>
        <w:t>公司从管理、技术和操作层面全面保障信息安全。通过建立信息安全责任制，公司明确各部门、各岗位的信息安全职责，确保信息安全管理工作有章可循、有据可依。在技术措施方面，公司采用了多层次的安全防护措施，包括防火墙、入侵检测系统、数据加密和备份等，确保网络和数据的安全。公司定期进行网络安全评估和渗透测试，及时发现和修复安全漏洞，提升信息系统的安全防护能力。通过实施信息安全培训和应急演练，提高员工的信息安全意识和应急处置能力，确保在突发事件中能够迅速反应、有效应对。</w:t>
      </w:r>
    </w:p>
    <w:p w14:paraId="636176DD">
      <w:r>
        <w:t>此外，公司还重视对客户信息和业务数据的保护。严格按照《个人信息保护法》的要求，建立了严格的数据收集、存储、使用和销毁流程，确保客户信息的合法、合规使用。公司承诺不向任何第三方透露客户信息，除非得到客户明确授权或法律法规要求。在数据传输过程中，公司采用加密技术，确保数据传输的安全性和完整性。</w:t>
      </w:r>
    </w:p>
    <w:p w14:paraId="2D19EBB4">
      <w:r>
        <w:t>河北宁强将持续优化和提升信息安全管理水平，建立健全信息安全管理体系，确保企业信息和客户数据的安全，为公司可持续发展保驾护航</w:t>
      </w:r>
      <w:bookmarkEnd w:id="99"/>
      <w:r>
        <w:t>。</w:t>
      </w:r>
    </w:p>
    <w:p w14:paraId="5674360D">
      <w:pPr>
        <w:rPr>
          <w:rFonts w:eastAsia="仿宋_GB2312"/>
          <w:lang w:bidi="ar"/>
        </w:rPr>
      </w:pPr>
      <w:r>
        <w:br w:type="page"/>
      </w:r>
    </w:p>
    <w:p w14:paraId="434A6C83">
      <w:pPr>
        <w:pStyle w:val="2"/>
        <w:ind w:left="560"/>
      </w:pPr>
      <w:bookmarkStart w:id="100" w:name="_Toc185362038"/>
      <w:r>
        <w:t>附录：GRI Standards指标索引</w:t>
      </w:r>
      <w:bookmarkEnd w:id="100"/>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17"/>
        <w:gridCol w:w="1842"/>
        <w:gridCol w:w="1844"/>
        <w:gridCol w:w="4016"/>
      </w:tblGrid>
      <w:tr w14:paraId="3451F5B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43" w:type="pct"/>
            <w:gridSpan w:val="3"/>
            <w:tcBorders>
              <w:bottom w:val="single" w:color="auto" w:sz="6" w:space="0"/>
              <w:right w:val="nil"/>
            </w:tcBorders>
            <w:vAlign w:val="center"/>
          </w:tcPr>
          <w:p w14:paraId="1931A4A0">
            <w:pPr>
              <w:widowControl w:val="0"/>
              <w:spacing w:line="240" w:lineRule="auto"/>
              <w:ind w:firstLine="321"/>
              <w:jc w:val="center"/>
              <w:rPr>
                <w:b/>
                <w:bCs/>
                <w:sz w:val="16"/>
                <w:szCs w:val="16"/>
              </w:rPr>
            </w:pPr>
            <w:r>
              <w:rPr>
                <w:b/>
                <w:bCs/>
                <w:sz w:val="16"/>
                <w:szCs w:val="16"/>
              </w:rPr>
              <w:t>报告目录</w:t>
            </w:r>
          </w:p>
        </w:tc>
        <w:tc>
          <w:tcPr>
            <w:tcW w:w="2357" w:type="pct"/>
            <w:tcBorders>
              <w:left w:val="nil"/>
              <w:bottom w:val="single" w:color="auto" w:sz="6" w:space="0"/>
            </w:tcBorders>
            <w:vAlign w:val="center"/>
          </w:tcPr>
          <w:p w14:paraId="20854919">
            <w:pPr>
              <w:widowControl w:val="0"/>
              <w:spacing w:line="240" w:lineRule="auto"/>
              <w:ind w:firstLine="321"/>
              <w:jc w:val="center"/>
              <w:rPr>
                <w:b/>
                <w:bCs/>
                <w:sz w:val="16"/>
                <w:szCs w:val="16"/>
              </w:rPr>
            </w:pPr>
            <w:r>
              <w:rPr>
                <w:b/>
                <w:bCs/>
                <w:sz w:val="16"/>
                <w:szCs w:val="16"/>
              </w:rPr>
              <w:t>GRI Standards索引号</w:t>
            </w:r>
          </w:p>
        </w:tc>
      </w:tr>
      <w:tr w14:paraId="5197F453">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43" w:type="pct"/>
            <w:gridSpan w:val="3"/>
            <w:tcBorders>
              <w:top w:val="single" w:color="auto" w:sz="6" w:space="0"/>
              <w:bottom w:val="nil"/>
              <w:right w:val="nil"/>
            </w:tcBorders>
            <w:vAlign w:val="center"/>
          </w:tcPr>
          <w:p w14:paraId="474B1DDB">
            <w:pPr>
              <w:widowControl w:val="0"/>
              <w:spacing w:line="240" w:lineRule="auto"/>
              <w:ind w:firstLine="0" w:firstLineChars="0"/>
              <w:jc w:val="left"/>
              <w:rPr>
                <w:sz w:val="16"/>
                <w:szCs w:val="16"/>
              </w:rPr>
            </w:pPr>
            <w:r>
              <w:rPr>
                <w:sz w:val="16"/>
                <w:szCs w:val="16"/>
              </w:rPr>
              <w:t>关于本报告</w:t>
            </w:r>
          </w:p>
        </w:tc>
        <w:tc>
          <w:tcPr>
            <w:tcW w:w="2357" w:type="pct"/>
            <w:tcBorders>
              <w:top w:val="single" w:color="auto" w:sz="6" w:space="0"/>
              <w:left w:val="nil"/>
              <w:bottom w:val="nil"/>
            </w:tcBorders>
            <w:vAlign w:val="center"/>
          </w:tcPr>
          <w:p w14:paraId="27C527E3">
            <w:pPr>
              <w:widowControl w:val="0"/>
              <w:spacing w:line="240" w:lineRule="auto"/>
              <w:ind w:firstLine="0" w:firstLineChars="0"/>
              <w:jc w:val="left"/>
              <w:rPr>
                <w:sz w:val="16"/>
                <w:szCs w:val="16"/>
              </w:rPr>
            </w:pPr>
            <w:r>
              <w:rPr>
                <w:sz w:val="16"/>
                <w:szCs w:val="16"/>
              </w:rPr>
              <w:t>GRI 2 组织及其报告实践</w:t>
            </w:r>
          </w:p>
        </w:tc>
      </w:tr>
      <w:tr w14:paraId="6D3CA159">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643" w:type="pct"/>
            <w:gridSpan w:val="3"/>
            <w:tcBorders>
              <w:top w:val="nil"/>
              <w:bottom w:val="nil"/>
              <w:right w:val="nil"/>
            </w:tcBorders>
            <w:vAlign w:val="center"/>
          </w:tcPr>
          <w:p w14:paraId="4D84EB38">
            <w:pPr>
              <w:widowControl w:val="0"/>
              <w:spacing w:line="240" w:lineRule="auto"/>
              <w:ind w:firstLine="0" w:firstLineChars="0"/>
              <w:jc w:val="left"/>
              <w:rPr>
                <w:sz w:val="16"/>
                <w:szCs w:val="16"/>
              </w:rPr>
            </w:pPr>
            <w:r>
              <w:rPr>
                <w:sz w:val="16"/>
                <w:szCs w:val="16"/>
              </w:rPr>
              <w:t>关于河北宁强</w:t>
            </w:r>
          </w:p>
        </w:tc>
        <w:tc>
          <w:tcPr>
            <w:tcW w:w="2357" w:type="pct"/>
            <w:tcBorders>
              <w:top w:val="nil"/>
              <w:left w:val="nil"/>
              <w:bottom w:val="nil"/>
            </w:tcBorders>
            <w:vAlign w:val="center"/>
          </w:tcPr>
          <w:p w14:paraId="7F409FBA">
            <w:pPr>
              <w:widowControl w:val="0"/>
              <w:spacing w:line="240" w:lineRule="auto"/>
              <w:ind w:firstLine="0" w:firstLineChars="0"/>
              <w:jc w:val="left"/>
              <w:rPr>
                <w:sz w:val="16"/>
                <w:szCs w:val="16"/>
              </w:rPr>
            </w:pPr>
            <w:r>
              <w:rPr>
                <w:sz w:val="16"/>
                <w:szCs w:val="16"/>
              </w:rPr>
              <w:t>GRI 2 组织及其报告实践/2 活动和工人</w:t>
            </w:r>
          </w:p>
        </w:tc>
      </w:tr>
      <w:tr w14:paraId="348135F3">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restart"/>
            <w:tcBorders>
              <w:top w:val="nil"/>
              <w:right w:val="nil"/>
            </w:tcBorders>
            <w:vAlign w:val="center"/>
          </w:tcPr>
          <w:p w14:paraId="4A06BA0F">
            <w:pPr>
              <w:widowControl w:val="0"/>
              <w:spacing w:line="240" w:lineRule="auto"/>
              <w:ind w:firstLine="0" w:firstLineChars="0"/>
              <w:rPr>
                <w:sz w:val="16"/>
                <w:szCs w:val="16"/>
              </w:rPr>
            </w:pPr>
            <w:r>
              <w:rPr>
                <w:sz w:val="16"/>
                <w:szCs w:val="16"/>
              </w:rPr>
              <w:t>环境篇</w:t>
            </w:r>
          </w:p>
        </w:tc>
        <w:tc>
          <w:tcPr>
            <w:tcW w:w="1081" w:type="pct"/>
            <w:vMerge w:val="restart"/>
            <w:tcBorders>
              <w:top w:val="nil"/>
              <w:left w:val="nil"/>
              <w:right w:val="nil"/>
            </w:tcBorders>
            <w:vAlign w:val="center"/>
          </w:tcPr>
          <w:p w14:paraId="7F1CAC7C">
            <w:pPr>
              <w:widowControl w:val="0"/>
              <w:spacing w:line="240" w:lineRule="auto"/>
              <w:ind w:firstLine="320"/>
              <w:rPr>
                <w:sz w:val="16"/>
                <w:szCs w:val="16"/>
              </w:rPr>
            </w:pPr>
            <w:r>
              <w:rPr>
                <w:sz w:val="16"/>
                <w:szCs w:val="16"/>
              </w:rPr>
              <w:t>低碳环保</w:t>
            </w:r>
          </w:p>
          <w:p w14:paraId="0A12057D">
            <w:pPr>
              <w:widowControl w:val="0"/>
              <w:spacing w:line="240" w:lineRule="auto"/>
              <w:ind w:firstLine="320"/>
              <w:rPr>
                <w:sz w:val="16"/>
                <w:szCs w:val="16"/>
              </w:rPr>
            </w:pPr>
            <w:r>
              <w:rPr>
                <w:sz w:val="16"/>
                <w:szCs w:val="16"/>
              </w:rPr>
              <w:t>守护生态之叶</w:t>
            </w:r>
          </w:p>
        </w:tc>
        <w:tc>
          <w:tcPr>
            <w:tcW w:w="1082" w:type="pct"/>
            <w:tcBorders>
              <w:top w:val="nil"/>
              <w:left w:val="nil"/>
              <w:bottom w:val="nil"/>
              <w:right w:val="nil"/>
            </w:tcBorders>
            <w:vAlign w:val="center"/>
          </w:tcPr>
          <w:p w14:paraId="70694A60">
            <w:pPr>
              <w:widowControl w:val="0"/>
              <w:spacing w:line="240" w:lineRule="auto"/>
              <w:ind w:firstLine="0" w:firstLineChars="0"/>
              <w:jc w:val="left"/>
              <w:rPr>
                <w:sz w:val="16"/>
                <w:szCs w:val="16"/>
              </w:rPr>
            </w:pPr>
            <w:r>
              <w:rPr>
                <w:sz w:val="16"/>
                <w:szCs w:val="16"/>
              </w:rPr>
              <w:t>环境管理体系</w:t>
            </w:r>
          </w:p>
        </w:tc>
        <w:tc>
          <w:tcPr>
            <w:tcW w:w="2357" w:type="pct"/>
            <w:tcBorders>
              <w:top w:val="nil"/>
              <w:left w:val="nil"/>
              <w:bottom w:val="nil"/>
            </w:tcBorders>
            <w:vAlign w:val="center"/>
          </w:tcPr>
          <w:p w14:paraId="12572709">
            <w:pPr>
              <w:widowControl w:val="0"/>
              <w:spacing w:line="240" w:lineRule="auto"/>
              <w:ind w:firstLine="0" w:firstLineChars="0"/>
              <w:jc w:val="left"/>
              <w:rPr>
                <w:sz w:val="16"/>
                <w:szCs w:val="16"/>
              </w:rPr>
            </w:pPr>
            <w:r>
              <w:rPr>
                <w:sz w:val="16"/>
                <w:szCs w:val="16"/>
              </w:rPr>
              <w:t>GRI 3 实质性议题</w:t>
            </w:r>
          </w:p>
        </w:tc>
      </w:tr>
      <w:tr w14:paraId="06716D3C">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continue"/>
            <w:tcBorders>
              <w:right w:val="nil"/>
            </w:tcBorders>
            <w:vAlign w:val="center"/>
          </w:tcPr>
          <w:p w14:paraId="6A05A630">
            <w:pPr>
              <w:widowControl w:val="0"/>
              <w:spacing w:line="240" w:lineRule="auto"/>
              <w:ind w:firstLine="320"/>
              <w:jc w:val="center"/>
              <w:rPr>
                <w:sz w:val="16"/>
                <w:szCs w:val="16"/>
              </w:rPr>
            </w:pPr>
          </w:p>
        </w:tc>
        <w:tc>
          <w:tcPr>
            <w:tcW w:w="1081" w:type="pct"/>
            <w:vMerge w:val="continue"/>
            <w:tcBorders>
              <w:left w:val="nil"/>
              <w:right w:val="nil"/>
            </w:tcBorders>
            <w:vAlign w:val="center"/>
          </w:tcPr>
          <w:p w14:paraId="75C57AFE">
            <w:pPr>
              <w:widowControl w:val="0"/>
              <w:spacing w:line="240" w:lineRule="auto"/>
              <w:ind w:firstLine="320"/>
              <w:jc w:val="center"/>
              <w:rPr>
                <w:sz w:val="16"/>
                <w:szCs w:val="16"/>
              </w:rPr>
            </w:pPr>
          </w:p>
        </w:tc>
        <w:tc>
          <w:tcPr>
            <w:tcW w:w="1082" w:type="pct"/>
            <w:tcBorders>
              <w:top w:val="nil"/>
              <w:left w:val="nil"/>
              <w:bottom w:val="nil"/>
              <w:right w:val="nil"/>
            </w:tcBorders>
            <w:vAlign w:val="center"/>
          </w:tcPr>
          <w:p w14:paraId="340C5045">
            <w:pPr>
              <w:widowControl w:val="0"/>
              <w:spacing w:line="240" w:lineRule="auto"/>
              <w:ind w:firstLine="0" w:firstLineChars="0"/>
              <w:jc w:val="left"/>
              <w:rPr>
                <w:sz w:val="16"/>
                <w:szCs w:val="16"/>
              </w:rPr>
            </w:pPr>
            <w:r>
              <w:rPr>
                <w:sz w:val="16"/>
                <w:szCs w:val="16"/>
              </w:rPr>
              <w:t>能源资源使用</w:t>
            </w:r>
          </w:p>
        </w:tc>
        <w:tc>
          <w:tcPr>
            <w:tcW w:w="2357" w:type="pct"/>
            <w:tcBorders>
              <w:top w:val="nil"/>
              <w:left w:val="nil"/>
              <w:bottom w:val="nil"/>
            </w:tcBorders>
            <w:vAlign w:val="center"/>
          </w:tcPr>
          <w:p w14:paraId="5770336B">
            <w:pPr>
              <w:widowControl w:val="0"/>
              <w:spacing w:line="240" w:lineRule="auto"/>
              <w:ind w:firstLine="0" w:firstLineChars="0"/>
              <w:jc w:val="left"/>
              <w:rPr>
                <w:sz w:val="16"/>
                <w:szCs w:val="16"/>
              </w:rPr>
            </w:pPr>
            <w:r>
              <w:rPr>
                <w:sz w:val="16"/>
                <w:szCs w:val="16"/>
              </w:rPr>
              <w:t>GRI 3 实质性议题/302 能源/303 水资源与污水</w:t>
            </w:r>
          </w:p>
        </w:tc>
      </w:tr>
      <w:tr w14:paraId="7876C319">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continue"/>
            <w:tcBorders>
              <w:right w:val="nil"/>
            </w:tcBorders>
            <w:vAlign w:val="center"/>
          </w:tcPr>
          <w:p w14:paraId="487856B6">
            <w:pPr>
              <w:widowControl w:val="0"/>
              <w:spacing w:line="240" w:lineRule="auto"/>
              <w:ind w:firstLine="320"/>
              <w:jc w:val="center"/>
              <w:rPr>
                <w:sz w:val="16"/>
                <w:szCs w:val="16"/>
              </w:rPr>
            </w:pPr>
          </w:p>
        </w:tc>
        <w:tc>
          <w:tcPr>
            <w:tcW w:w="1081" w:type="pct"/>
            <w:vMerge w:val="continue"/>
            <w:tcBorders>
              <w:left w:val="nil"/>
              <w:right w:val="nil"/>
            </w:tcBorders>
            <w:vAlign w:val="center"/>
          </w:tcPr>
          <w:p w14:paraId="4BA35BA2">
            <w:pPr>
              <w:widowControl w:val="0"/>
              <w:spacing w:line="240" w:lineRule="auto"/>
              <w:ind w:firstLine="320"/>
              <w:jc w:val="center"/>
              <w:rPr>
                <w:sz w:val="16"/>
                <w:szCs w:val="16"/>
              </w:rPr>
            </w:pPr>
          </w:p>
        </w:tc>
        <w:tc>
          <w:tcPr>
            <w:tcW w:w="1082" w:type="pct"/>
            <w:tcBorders>
              <w:top w:val="nil"/>
              <w:left w:val="nil"/>
              <w:bottom w:val="nil"/>
              <w:right w:val="nil"/>
            </w:tcBorders>
            <w:vAlign w:val="center"/>
          </w:tcPr>
          <w:p w14:paraId="54FF35AF">
            <w:pPr>
              <w:widowControl w:val="0"/>
              <w:spacing w:line="240" w:lineRule="auto"/>
              <w:ind w:firstLine="0" w:firstLineChars="0"/>
              <w:jc w:val="left"/>
              <w:rPr>
                <w:sz w:val="16"/>
                <w:szCs w:val="16"/>
              </w:rPr>
            </w:pPr>
            <w:r>
              <w:rPr>
                <w:sz w:val="16"/>
                <w:szCs w:val="16"/>
              </w:rPr>
              <w:t>污染排放管理</w:t>
            </w:r>
          </w:p>
        </w:tc>
        <w:tc>
          <w:tcPr>
            <w:tcW w:w="2357" w:type="pct"/>
            <w:tcBorders>
              <w:top w:val="nil"/>
              <w:left w:val="nil"/>
              <w:bottom w:val="nil"/>
            </w:tcBorders>
            <w:vAlign w:val="center"/>
          </w:tcPr>
          <w:p w14:paraId="5DBB60A0">
            <w:pPr>
              <w:widowControl w:val="0"/>
              <w:spacing w:line="240" w:lineRule="auto"/>
              <w:ind w:firstLine="0" w:firstLineChars="0"/>
              <w:jc w:val="left"/>
              <w:rPr>
                <w:sz w:val="16"/>
                <w:szCs w:val="16"/>
              </w:rPr>
            </w:pPr>
            <w:r>
              <w:rPr>
                <w:sz w:val="16"/>
                <w:szCs w:val="16"/>
              </w:rPr>
              <w:t>GRI 3 实质性议题/301 物料 /306 废弃物</w:t>
            </w:r>
          </w:p>
        </w:tc>
      </w:tr>
      <w:tr w14:paraId="274329D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continue"/>
            <w:tcBorders>
              <w:right w:val="nil"/>
            </w:tcBorders>
            <w:vAlign w:val="center"/>
          </w:tcPr>
          <w:p w14:paraId="7F278246">
            <w:pPr>
              <w:widowControl w:val="0"/>
              <w:spacing w:line="240" w:lineRule="auto"/>
              <w:ind w:firstLine="320"/>
              <w:jc w:val="center"/>
              <w:rPr>
                <w:sz w:val="16"/>
                <w:szCs w:val="16"/>
              </w:rPr>
            </w:pPr>
          </w:p>
        </w:tc>
        <w:tc>
          <w:tcPr>
            <w:tcW w:w="1081" w:type="pct"/>
            <w:vMerge w:val="continue"/>
            <w:tcBorders>
              <w:left w:val="nil"/>
              <w:right w:val="nil"/>
            </w:tcBorders>
            <w:vAlign w:val="center"/>
          </w:tcPr>
          <w:p w14:paraId="29BDC2B9">
            <w:pPr>
              <w:widowControl w:val="0"/>
              <w:spacing w:line="240" w:lineRule="auto"/>
              <w:ind w:firstLine="320"/>
              <w:jc w:val="center"/>
              <w:rPr>
                <w:sz w:val="16"/>
                <w:szCs w:val="16"/>
              </w:rPr>
            </w:pPr>
          </w:p>
        </w:tc>
        <w:tc>
          <w:tcPr>
            <w:tcW w:w="1082" w:type="pct"/>
            <w:tcBorders>
              <w:top w:val="nil"/>
              <w:left w:val="nil"/>
              <w:bottom w:val="nil"/>
              <w:right w:val="nil"/>
            </w:tcBorders>
            <w:vAlign w:val="center"/>
          </w:tcPr>
          <w:p w14:paraId="6FE40075">
            <w:pPr>
              <w:widowControl w:val="0"/>
              <w:spacing w:line="240" w:lineRule="auto"/>
              <w:ind w:firstLine="0" w:firstLineChars="0"/>
              <w:jc w:val="left"/>
              <w:rPr>
                <w:sz w:val="16"/>
                <w:szCs w:val="16"/>
              </w:rPr>
            </w:pPr>
            <w:r>
              <w:rPr>
                <w:rFonts w:hint="eastAsia"/>
                <w:sz w:val="16"/>
                <w:szCs w:val="16"/>
              </w:rPr>
              <w:t>打造绿色供应链</w:t>
            </w:r>
          </w:p>
        </w:tc>
        <w:tc>
          <w:tcPr>
            <w:tcW w:w="2357" w:type="pct"/>
            <w:tcBorders>
              <w:top w:val="nil"/>
              <w:left w:val="nil"/>
              <w:bottom w:val="nil"/>
            </w:tcBorders>
            <w:vAlign w:val="center"/>
          </w:tcPr>
          <w:p w14:paraId="18F26CC3">
            <w:pPr>
              <w:widowControl w:val="0"/>
              <w:spacing w:line="240" w:lineRule="auto"/>
              <w:ind w:firstLine="0" w:firstLineChars="0"/>
              <w:jc w:val="left"/>
              <w:rPr>
                <w:sz w:val="16"/>
                <w:szCs w:val="16"/>
              </w:rPr>
            </w:pPr>
            <w:r>
              <w:rPr>
                <w:rFonts w:hint="eastAsia"/>
                <w:sz w:val="16"/>
                <w:szCs w:val="16"/>
              </w:rPr>
              <w:t>GRI 3 实质性议题/204 采购实践/308 供应商环境评估</w:t>
            </w:r>
          </w:p>
        </w:tc>
      </w:tr>
      <w:tr w14:paraId="532B923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continue"/>
            <w:tcBorders>
              <w:bottom w:val="nil"/>
              <w:right w:val="nil"/>
            </w:tcBorders>
            <w:vAlign w:val="center"/>
          </w:tcPr>
          <w:p w14:paraId="699792DB">
            <w:pPr>
              <w:widowControl w:val="0"/>
              <w:spacing w:line="240" w:lineRule="auto"/>
              <w:ind w:firstLine="320"/>
              <w:jc w:val="center"/>
              <w:rPr>
                <w:sz w:val="16"/>
                <w:szCs w:val="16"/>
              </w:rPr>
            </w:pPr>
          </w:p>
        </w:tc>
        <w:tc>
          <w:tcPr>
            <w:tcW w:w="1081" w:type="pct"/>
            <w:vMerge w:val="continue"/>
            <w:tcBorders>
              <w:left w:val="nil"/>
              <w:bottom w:val="nil"/>
              <w:right w:val="nil"/>
            </w:tcBorders>
            <w:vAlign w:val="center"/>
          </w:tcPr>
          <w:p w14:paraId="76E9CB6C">
            <w:pPr>
              <w:widowControl w:val="0"/>
              <w:spacing w:line="240" w:lineRule="auto"/>
              <w:ind w:firstLine="320"/>
              <w:jc w:val="center"/>
              <w:rPr>
                <w:sz w:val="16"/>
                <w:szCs w:val="16"/>
              </w:rPr>
            </w:pPr>
          </w:p>
        </w:tc>
        <w:tc>
          <w:tcPr>
            <w:tcW w:w="1082" w:type="pct"/>
            <w:tcBorders>
              <w:top w:val="nil"/>
              <w:left w:val="nil"/>
              <w:bottom w:val="nil"/>
              <w:right w:val="nil"/>
            </w:tcBorders>
            <w:vAlign w:val="center"/>
          </w:tcPr>
          <w:p w14:paraId="022DF5B5">
            <w:pPr>
              <w:widowControl w:val="0"/>
              <w:spacing w:line="240" w:lineRule="auto"/>
              <w:ind w:firstLine="0" w:firstLineChars="0"/>
              <w:jc w:val="left"/>
              <w:rPr>
                <w:sz w:val="16"/>
                <w:szCs w:val="16"/>
              </w:rPr>
            </w:pPr>
            <w:r>
              <w:rPr>
                <w:rFonts w:hint="eastAsia"/>
                <w:sz w:val="16"/>
                <w:szCs w:val="16"/>
              </w:rPr>
              <w:t>开展绿色办公</w:t>
            </w:r>
          </w:p>
        </w:tc>
        <w:tc>
          <w:tcPr>
            <w:tcW w:w="2357" w:type="pct"/>
            <w:tcBorders>
              <w:top w:val="nil"/>
              <w:left w:val="nil"/>
              <w:bottom w:val="nil"/>
            </w:tcBorders>
            <w:vAlign w:val="center"/>
          </w:tcPr>
          <w:p w14:paraId="3837E3D1">
            <w:pPr>
              <w:widowControl w:val="0"/>
              <w:spacing w:line="240" w:lineRule="auto"/>
              <w:ind w:firstLine="0" w:firstLineChars="0"/>
              <w:jc w:val="left"/>
              <w:rPr>
                <w:sz w:val="16"/>
                <w:szCs w:val="16"/>
              </w:rPr>
            </w:pPr>
            <w:r>
              <w:rPr>
                <w:rFonts w:hint="eastAsia"/>
                <w:sz w:val="16"/>
                <w:szCs w:val="16"/>
              </w:rPr>
              <w:t>GRI 3 实质性议题</w:t>
            </w:r>
          </w:p>
        </w:tc>
      </w:tr>
      <w:tr w14:paraId="2DD7CB4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restart"/>
            <w:tcBorders>
              <w:top w:val="nil"/>
              <w:right w:val="nil"/>
            </w:tcBorders>
            <w:vAlign w:val="center"/>
          </w:tcPr>
          <w:p w14:paraId="56A7FA83">
            <w:pPr>
              <w:widowControl w:val="0"/>
              <w:spacing w:line="240" w:lineRule="auto"/>
              <w:ind w:firstLine="0" w:firstLineChars="0"/>
              <w:rPr>
                <w:sz w:val="16"/>
                <w:szCs w:val="16"/>
              </w:rPr>
            </w:pPr>
            <w:r>
              <w:rPr>
                <w:sz w:val="16"/>
                <w:szCs w:val="16"/>
              </w:rPr>
              <w:t>社会篇</w:t>
            </w:r>
          </w:p>
        </w:tc>
        <w:tc>
          <w:tcPr>
            <w:tcW w:w="1081" w:type="pct"/>
            <w:vMerge w:val="restart"/>
            <w:tcBorders>
              <w:top w:val="nil"/>
              <w:left w:val="nil"/>
              <w:right w:val="nil"/>
            </w:tcBorders>
            <w:vAlign w:val="center"/>
          </w:tcPr>
          <w:p w14:paraId="0542474A">
            <w:pPr>
              <w:widowControl w:val="0"/>
              <w:spacing w:line="240" w:lineRule="auto"/>
              <w:ind w:firstLine="320"/>
              <w:rPr>
                <w:sz w:val="16"/>
                <w:szCs w:val="16"/>
              </w:rPr>
            </w:pPr>
            <w:r>
              <w:rPr>
                <w:sz w:val="16"/>
                <w:szCs w:val="16"/>
              </w:rPr>
              <w:t>以人为本</w:t>
            </w:r>
          </w:p>
          <w:p w14:paraId="5AB5913C">
            <w:pPr>
              <w:widowControl w:val="0"/>
              <w:spacing w:line="240" w:lineRule="auto"/>
              <w:ind w:firstLine="320"/>
              <w:rPr>
                <w:sz w:val="16"/>
                <w:szCs w:val="16"/>
              </w:rPr>
            </w:pPr>
            <w:r>
              <w:rPr>
                <w:sz w:val="16"/>
                <w:szCs w:val="16"/>
              </w:rPr>
              <w:t>共享和谐之果</w:t>
            </w:r>
          </w:p>
        </w:tc>
        <w:tc>
          <w:tcPr>
            <w:tcW w:w="1082" w:type="pct"/>
            <w:tcBorders>
              <w:top w:val="nil"/>
              <w:left w:val="nil"/>
              <w:bottom w:val="nil"/>
              <w:right w:val="nil"/>
            </w:tcBorders>
            <w:vAlign w:val="center"/>
          </w:tcPr>
          <w:p w14:paraId="0291A336">
            <w:pPr>
              <w:widowControl w:val="0"/>
              <w:spacing w:line="240" w:lineRule="auto"/>
              <w:ind w:firstLine="0" w:firstLineChars="0"/>
              <w:jc w:val="left"/>
              <w:rPr>
                <w:sz w:val="16"/>
                <w:szCs w:val="16"/>
              </w:rPr>
            </w:pPr>
            <w:r>
              <w:rPr>
                <w:sz w:val="16"/>
                <w:szCs w:val="16"/>
              </w:rPr>
              <w:t>员工权益与发展</w:t>
            </w:r>
          </w:p>
        </w:tc>
        <w:tc>
          <w:tcPr>
            <w:tcW w:w="2357" w:type="pct"/>
            <w:tcBorders>
              <w:top w:val="nil"/>
              <w:left w:val="nil"/>
              <w:bottom w:val="nil"/>
            </w:tcBorders>
            <w:vAlign w:val="center"/>
          </w:tcPr>
          <w:p w14:paraId="282EFE20">
            <w:pPr>
              <w:widowControl w:val="0"/>
              <w:spacing w:line="240" w:lineRule="auto"/>
              <w:ind w:firstLine="0" w:firstLineChars="0"/>
              <w:jc w:val="left"/>
              <w:rPr>
                <w:sz w:val="16"/>
                <w:szCs w:val="16"/>
              </w:rPr>
            </w:pPr>
            <w:r>
              <w:rPr>
                <w:sz w:val="16"/>
                <w:szCs w:val="16"/>
              </w:rPr>
              <w:t>GRI 2 活动和工人/3 实质性议题/202 市场表现/401 雇佣/404 培训与教育/405 多元化与平等机会/406 反歧视/408 童工/409 强迫或强制劳动</w:t>
            </w:r>
          </w:p>
        </w:tc>
      </w:tr>
      <w:tr w14:paraId="782C3AAF">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continue"/>
            <w:tcBorders>
              <w:right w:val="nil"/>
            </w:tcBorders>
            <w:vAlign w:val="center"/>
          </w:tcPr>
          <w:p w14:paraId="4A9D1484">
            <w:pPr>
              <w:widowControl w:val="0"/>
              <w:spacing w:line="240" w:lineRule="auto"/>
              <w:ind w:firstLine="320"/>
              <w:jc w:val="center"/>
              <w:rPr>
                <w:sz w:val="16"/>
                <w:szCs w:val="16"/>
              </w:rPr>
            </w:pPr>
          </w:p>
        </w:tc>
        <w:tc>
          <w:tcPr>
            <w:tcW w:w="1081" w:type="pct"/>
            <w:vMerge w:val="continue"/>
            <w:tcBorders>
              <w:left w:val="nil"/>
              <w:right w:val="nil"/>
            </w:tcBorders>
            <w:vAlign w:val="center"/>
          </w:tcPr>
          <w:p w14:paraId="0728E39F">
            <w:pPr>
              <w:widowControl w:val="0"/>
              <w:spacing w:line="240" w:lineRule="auto"/>
              <w:ind w:firstLine="320"/>
              <w:jc w:val="center"/>
              <w:rPr>
                <w:sz w:val="16"/>
                <w:szCs w:val="16"/>
              </w:rPr>
            </w:pPr>
          </w:p>
        </w:tc>
        <w:tc>
          <w:tcPr>
            <w:tcW w:w="1082" w:type="pct"/>
            <w:tcBorders>
              <w:top w:val="nil"/>
              <w:left w:val="nil"/>
              <w:bottom w:val="nil"/>
              <w:right w:val="nil"/>
            </w:tcBorders>
            <w:vAlign w:val="center"/>
          </w:tcPr>
          <w:p w14:paraId="46B1122B">
            <w:pPr>
              <w:widowControl w:val="0"/>
              <w:spacing w:line="240" w:lineRule="auto"/>
              <w:ind w:firstLine="0" w:firstLineChars="0"/>
              <w:jc w:val="left"/>
              <w:rPr>
                <w:sz w:val="16"/>
                <w:szCs w:val="16"/>
              </w:rPr>
            </w:pPr>
            <w:r>
              <w:rPr>
                <w:sz w:val="16"/>
                <w:szCs w:val="16"/>
              </w:rPr>
              <w:t>职业健康与安全</w:t>
            </w:r>
          </w:p>
        </w:tc>
        <w:tc>
          <w:tcPr>
            <w:tcW w:w="2357" w:type="pct"/>
            <w:tcBorders>
              <w:top w:val="nil"/>
              <w:left w:val="nil"/>
              <w:bottom w:val="nil"/>
            </w:tcBorders>
            <w:vAlign w:val="center"/>
          </w:tcPr>
          <w:p w14:paraId="1212D96F">
            <w:pPr>
              <w:widowControl w:val="0"/>
              <w:spacing w:line="240" w:lineRule="auto"/>
              <w:ind w:firstLine="0" w:firstLineChars="0"/>
              <w:jc w:val="left"/>
              <w:rPr>
                <w:sz w:val="16"/>
                <w:szCs w:val="16"/>
              </w:rPr>
            </w:pPr>
            <w:r>
              <w:rPr>
                <w:sz w:val="16"/>
                <w:szCs w:val="16"/>
              </w:rPr>
              <w:t>GRI 3 实质性议题/403 职业健康与安全</w:t>
            </w:r>
          </w:p>
        </w:tc>
      </w:tr>
      <w:tr w14:paraId="2F4D0ED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continue"/>
            <w:tcBorders>
              <w:bottom w:val="nil"/>
              <w:right w:val="nil"/>
            </w:tcBorders>
            <w:vAlign w:val="center"/>
          </w:tcPr>
          <w:p w14:paraId="7AF2396D">
            <w:pPr>
              <w:widowControl w:val="0"/>
              <w:spacing w:line="240" w:lineRule="auto"/>
              <w:ind w:firstLine="320"/>
              <w:jc w:val="center"/>
              <w:rPr>
                <w:sz w:val="16"/>
                <w:szCs w:val="16"/>
              </w:rPr>
            </w:pPr>
          </w:p>
        </w:tc>
        <w:tc>
          <w:tcPr>
            <w:tcW w:w="1081" w:type="pct"/>
            <w:vMerge w:val="continue"/>
            <w:tcBorders>
              <w:left w:val="nil"/>
              <w:bottom w:val="nil"/>
              <w:right w:val="nil"/>
            </w:tcBorders>
            <w:vAlign w:val="center"/>
          </w:tcPr>
          <w:p w14:paraId="39920328">
            <w:pPr>
              <w:widowControl w:val="0"/>
              <w:spacing w:line="240" w:lineRule="auto"/>
              <w:ind w:firstLine="320"/>
              <w:jc w:val="center"/>
              <w:rPr>
                <w:sz w:val="16"/>
                <w:szCs w:val="16"/>
              </w:rPr>
            </w:pPr>
          </w:p>
        </w:tc>
        <w:tc>
          <w:tcPr>
            <w:tcW w:w="1082" w:type="pct"/>
            <w:tcBorders>
              <w:top w:val="nil"/>
              <w:left w:val="nil"/>
              <w:bottom w:val="nil"/>
              <w:right w:val="nil"/>
            </w:tcBorders>
            <w:vAlign w:val="center"/>
          </w:tcPr>
          <w:p w14:paraId="318FF969">
            <w:pPr>
              <w:widowControl w:val="0"/>
              <w:spacing w:line="240" w:lineRule="auto"/>
              <w:ind w:firstLine="0" w:firstLineChars="0"/>
              <w:jc w:val="left"/>
              <w:rPr>
                <w:sz w:val="16"/>
                <w:szCs w:val="16"/>
              </w:rPr>
            </w:pPr>
            <w:r>
              <w:rPr>
                <w:rFonts w:hint="eastAsia"/>
                <w:sz w:val="16"/>
                <w:szCs w:val="16"/>
              </w:rPr>
              <w:t>志愿服务与慈善</w:t>
            </w:r>
          </w:p>
        </w:tc>
        <w:tc>
          <w:tcPr>
            <w:tcW w:w="2357" w:type="pct"/>
            <w:tcBorders>
              <w:top w:val="nil"/>
              <w:left w:val="nil"/>
              <w:bottom w:val="nil"/>
            </w:tcBorders>
            <w:vAlign w:val="center"/>
          </w:tcPr>
          <w:p w14:paraId="7B600FDA">
            <w:pPr>
              <w:widowControl w:val="0"/>
              <w:spacing w:line="240" w:lineRule="auto"/>
              <w:ind w:firstLine="0" w:firstLineChars="0"/>
              <w:jc w:val="left"/>
              <w:rPr>
                <w:sz w:val="16"/>
                <w:szCs w:val="16"/>
              </w:rPr>
            </w:pPr>
            <w:r>
              <w:rPr>
                <w:rFonts w:hint="eastAsia"/>
                <w:sz w:val="16"/>
                <w:szCs w:val="16"/>
              </w:rPr>
              <w:t>GRI 3 实质性议题/413 当地社区</w:t>
            </w:r>
          </w:p>
        </w:tc>
      </w:tr>
      <w:tr w14:paraId="5DDB95BF">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restart"/>
            <w:tcBorders>
              <w:top w:val="nil"/>
              <w:bottom w:val="nil"/>
              <w:right w:val="nil"/>
            </w:tcBorders>
            <w:vAlign w:val="center"/>
          </w:tcPr>
          <w:p w14:paraId="53D430BA">
            <w:pPr>
              <w:widowControl w:val="0"/>
              <w:spacing w:line="240" w:lineRule="auto"/>
              <w:ind w:firstLine="0" w:firstLineChars="0"/>
              <w:rPr>
                <w:sz w:val="16"/>
                <w:szCs w:val="16"/>
              </w:rPr>
            </w:pPr>
            <w:r>
              <w:rPr>
                <w:sz w:val="16"/>
                <w:szCs w:val="16"/>
              </w:rPr>
              <w:t>治理篇</w:t>
            </w:r>
          </w:p>
        </w:tc>
        <w:tc>
          <w:tcPr>
            <w:tcW w:w="1081" w:type="pct"/>
            <w:vMerge w:val="restart"/>
            <w:tcBorders>
              <w:top w:val="nil"/>
              <w:left w:val="nil"/>
              <w:bottom w:val="nil"/>
              <w:right w:val="nil"/>
            </w:tcBorders>
            <w:vAlign w:val="center"/>
          </w:tcPr>
          <w:p w14:paraId="0E5E31CE">
            <w:pPr>
              <w:widowControl w:val="0"/>
              <w:spacing w:line="240" w:lineRule="auto"/>
              <w:ind w:firstLine="320"/>
              <w:rPr>
                <w:sz w:val="16"/>
                <w:szCs w:val="16"/>
              </w:rPr>
            </w:pPr>
            <w:r>
              <w:rPr>
                <w:sz w:val="16"/>
                <w:szCs w:val="16"/>
              </w:rPr>
              <w:t>价值导向</w:t>
            </w:r>
          </w:p>
          <w:p w14:paraId="4EA96455">
            <w:pPr>
              <w:widowControl w:val="0"/>
              <w:spacing w:line="240" w:lineRule="auto"/>
              <w:ind w:firstLine="320"/>
              <w:rPr>
                <w:sz w:val="16"/>
                <w:szCs w:val="16"/>
              </w:rPr>
            </w:pPr>
            <w:r>
              <w:rPr>
                <w:sz w:val="16"/>
                <w:szCs w:val="16"/>
              </w:rPr>
              <w:t>筑牢治理之根</w:t>
            </w:r>
          </w:p>
        </w:tc>
        <w:tc>
          <w:tcPr>
            <w:tcW w:w="1082" w:type="pct"/>
            <w:tcBorders>
              <w:top w:val="nil"/>
              <w:left w:val="nil"/>
              <w:bottom w:val="nil"/>
              <w:right w:val="nil"/>
            </w:tcBorders>
            <w:vAlign w:val="center"/>
          </w:tcPr>
          <w:p w14:paraId="537AE912">
            <w:pPr>
              <w:widowControl w:val="0"/>
              <w:spacing w:line="240" w:lineRule="auto"/>
              <w:ind w:firstLine="0" w:firstLineChars="0"/>
              <w:jc w:val="left"/>
              <w:rPr>
                <w:sz w:val="16"/>
                <w:szCs w:val="16"/>
              </w:rPr>
            </w:pPr>
            <w:r>
              <w:rPr>
                <w:sz w:val="16"/>
                <w:szCs w:val="16"/>
              </w:rPr>
              <w:t>规范公司治理</w:t>
            </w:r>
          </w:p>
        </w:tc>
        <w:tc>
          <w:tcPr>
            <w:tcW w:w="2357" w:type="pct"/>
            <w:tcBorders>
              <w:top w:val="nil"/>
              <w:left w:val="nil"/>
              <w:bottom w:val="nil"/>
            </w:tcBorders>
            <w:vAlign w:val="center"/>
          </w:tcPr>
          <w:p w14:paraId="2D4C295D">
            <w:pPr>
              <w:widowControl w:val="0"/>
              <w:spacing w:line="240" w:lineRule="auto"/>
              <w:ind w:firstLine="0" w:firstLineChars="0"/>
              <w:jc w:val="left"/>
              <w:rPr>
                <w:sz w:val="16"/>
                <w:szCs w:val="16"/>
              </w:rPr>
            </w:pPr>
            <w:r>
              <w:rPr>
                <w:sz w:val="16"/>
                <w:szCs w:val="16"/>
              </w:rPr>
              <w:t>GRI 2 管治/2 战略、政策和实践/3 实质性议题</w:t>
            </w:r>
          </w:p>
        </w:tc>
      </w:tr>
      <w:tr w14:paraId="021B5A4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continue"/>
            <w:tcBorders>
              <w:top w:val="nil"/>
              <w:bottom w:val="nil"/>
              <w:right w:val="nil"/>
            </w:tcBorders>
            <w:vAlign w:val="center"/>
          </w:tcPr>
          <w:p w14:paraId="4C0CACBC">
            <w:pPr>
              <w:widowControl w:val="0"/>
              <w:spacing w:line="240" w:lineRule="auto"/>
              <w:ind w:firstLine="320"/>
              <w:jc w:val="center"/>
              <w:rPr>
                <w:sz w:val="16"/>
                <w:szCs w:val="16"/>
              </w:rPr>
            </w:pPr>
          </w:p>
        </w:tc>
        <w:tc>
          <w:tcPr>
            <w:tcW w:w="1081" w:type="pct"/>
            <w:vMerge w:val="continue"/>
            <w:tcBorders>
              <w:top w:val="nil"/>
              <w:left w:val="nil"/>
              <w:bottom w:val="nil"/>
              <w:right w:val="nil"/>
            </w:tcBorders>
            <w:vAlign w:val="center"/>
          </w:tcPr>
          <w:p w14:paraId="1D4B74CD">
            <w:pPr>
              <w:widowControl w:val="0"/>
              <w:spacing w:line="240" w:lineRule="auto"/>
              <w:ind w:firstLine="320"/>
              <w:jc w:val="center"/>
              <w:rPr>
                <w:sz w:val="16"/>
                <w:szCs w:val="16"/>
              </w:rPr>
            </w:pPr>
          </w:p>
        </w:tc>
        <w:tc>
          <w:tcPr>
            <w:tcW w:w="1082" w:type="pct"/>
            <w:tcBorders>
              <w:top w:val="nil"/>
              <w:left w:val="nil"/>
              <w:bottom w:val="nil"/>
              <w:right w:val="nil"/>
            </w:tcBorders>
            <w:vAlign w:val="center"/>
          </w:tcPr>
          <w:p w14:paraId="72CCA167">
            <w:pPr>
              <w:widowControl w:val="0"/>
              <w:spacing w:line="240" w:lineRule="auto"/>
              <w:ind w:firstLine="0" w:firstLineChars="0"/>
              <w:jc w:val="left"/>
              <w:rPr>
                <w:sz w:val="16"/>
                <w:szCs w:val="16"/>
              </w:rPr>
            </w:pPr>
            <w:r>
              <w:rPr>
                <w:sz w:val="16"/>
                <w:szCs w:val="16"/>
              </w:rPr>
              <w:t>践行商业道德</w:t>
            </w:r>
          </w:p>
        </w:tc>
        <w:tc>
          <w:tcPr>
            <w:tcW w:w="2357" w:type="pct"/>
            <w:tcBorders>
              <w:top w:val="nil"/>
              <w:left w:val="nil"/>
              <w:bottom w:val="nil"/>
            </w:tcBorders>
            <w:vAlign w:val="center"/>
          </w:tcPr>
          <w:p w14:paraId="2F58F0D1">
            <w:pPr>
              <w:widowControl w:val="0"/>
              <w:spacing w:line="240" w:lineRule="auto"/>
              <w:ind w:firstLine="0" w:firstLineChars="0"/>
              <w:jc w:val="left"/>
              <w:rPr>
                <w:sz w:val="16"/>
                <w:szCs w:val="16"/>
              </w:rPr>
            </w:pPr>
            <w:r>
              <w:rPr>
                <w:sz w:val="16"/>
                <w:szCs w:val="16"/>
              </w:rPr>
              <w:t>GRI 3 实质性议题/205 反腐败/206 不当竞争行为/207 税务</w:t>
            </w:r>
          </w:p>
        </w:tc>
      </w:tr>
      <w:tr w14:paraId="21BF9BC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5" w:hRule="atLeast"/>
        </w:trPr>
        <w:tc>
          <w:tcPr>
            <w:tcW w:w="480" w:type="pct"/>
            <w:vMerge w:val="continue"/>
            <w:tcBorders>
              <w:top w:val="nil"/>
              <w:bottom w:val="nil"/>
              <w:right w:val="nil"/>
            </w:tcBorders>
            <w:vAlign w:val="center"/>
          </w:tcPr>
          <w:p w14:paraId="6E62C275">
            <w:pPr>
              <w:widowControl w:val="0"/>
              <w:spacing w:line="240" w:lineRule="auto"/>
              <w:ind w:firstLine="320"/>
              <w:jc w:val="center"/>
              <w:rPr>
                <w:sz w:val="16"/>
                <w:szCs w:val="16"/>
              </w:rPr>
            </w:pPr>
          </w:p>
        </w:tc>
        <w:tc>
          <w:tcPr>
            <w:tcW w:w="1081" w:type="pct"/>
            <w:vMerge w:val="continue"/>
            <w:tcBorders>
              <w:top w:val="nil"/>
              <w:left w:val="nil"/>
              <w:bottom w:val="nil"/>
              <w:right w:val="nil"/>
            </w:tcBorders>
            <w:vAlign w:val="center"/>
          </w:tcPr>
          <w:p w14:paraId="5DCB07F4">
            <w:pPr>
              <w:widowControl w:val="0"/>
              <w:spacing w:line="240" w:lineRule="auto"/>
              <w:ind w:firstLine="320"/>
              <w:jc w:val="center"/>
              <w:rPr>
                <w:sz w:val="16"/>
                <w:szCs w:val="16"/>
              </w:rPr>
            </w:pPr>
          </w:p>
        </w:tc>
        <w:tc>
          <w:tcPr>
            <w:tcW w:w="1082" w:type="pct"/>
            <w:tcBorders>
              <w:top w:val="nil"/>
              <w:left w:val="nil"/>
              <w:bottom w:val="nil"/>
              <w:right w:val="nil"/>
            </w:tcBorders>
            <w:vAlign w:val="center"/>
          </w:tcPr>
          <w:p w14:paraId="50FCF960">
            <w:pPr>
              <w:widowControl w:val="0"/>
              <w:spacing w:line="240" w:lineRule="auto"/>
              <w:ind w:firstLine="0" w:firstLineChars="0"/>
              <w:jc w:val="left"/>
              <w:rPr>
                <w:sz w:val="16"/>
                <w:szCs w:val="16"/>
              </w:rPr>
            </w:pPr>
            <w:r>
              <w:rPr>
                <w:sz w:val="16"/>
                <w:szCs w:val="16"/>
              </w:rPr>
              <w:t>创新驱动发展</w:t>
            </w:r>
          </w:p>
        </w:tc>
        <w:tc>
          <w:tcPr>
            <w:tcW w:w="2357" w:type="pct"/>
            <w:tcBorders>
              <w:top w:val="nil"/>
              <w:left w:val="nil"/>
              <w:bottom w:val="nil"/>
            </w:tcBorders>
            <w:vAlign w:val="center"/>
          </w:tcPr>
          <w:p w14:paraId="13F7BAA2">
            <w:pPr>
              <w:widowControl w:val="0"/>
              <w:spacing w:line="240" w:lineRule="auto"/>
              <w:ind w:firstLine="0" w:firstLineChars="0"/>
              <w:jc w:val="left"/>
              <w:rPr>
                <w:sz w:val="16"/>
                <w:szCs w:val="16"/>
              </w:rPr>
            </w:pPr>
            <w:r>
              <w:rPr>
                <w:sz w:val="16"/>
                <w:szCs w:val="16"/>
              </w:rPr>
              <w:t>GRI 3 实质性议题</w:t>
            </w:r>
          </w:p>
        </w:tc>
      </w:tr>
      <w:tr w14:paraId="3E20657F">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continue"/>
            <w:tcBorders>
              <w:top w:val="nil"/>
              <w:bottom w:val="nil"/>
              <w:right w:val="nil"/>
            </w:tcBorders>
            <w:vAlign w:val="center"/>
          </w:tcPr>
          <w:p w14:paraId="4EC7698C">
            <w:pPr>
              <w:widowControl w:val="0"/>
              <w:spacing w:line="240" w:lineRule="auto"/>
              <w:ind w:firstLine="320"/>
              <w:jc w:val="center"/>
              <w:rPr>
                <w:sz w:val="16"/>
                <w:szCs w:val="16"/>
              </w:rPr>
            </w:pPr>
          </w:p>
        </w:tc>
        <w:tc>
          <w:tcPr>
            <w:tcW w:w="1081" w:type="pct"/>
            <w:vMerge w:val="continue"/>
            <w:tcBorders>
              <w:top w:val="nil"/>
              <w:left w:val="nil"/>
              <w:bottom w:val="nil"/>
              <w:right w:val="nil"/>
            </w:tcBorders>
            <w:vAlign w:val="center"/>
          </w:tcPr>
          <w:p w14:paraId="5328F44D">
            <w:pPr>
              <w:widowControl w:val="0"/>
              <w:spacing w:line="240" w:lineRule="auto"/>
              <w:ind w:firstLine="320"/>
              <w:jc w:val="center"/>
              <w:rPr>
                <w:sz w:val="16"/>
                <w:szCs w:val="16"/>
              </w:rPr>
            </w:pPr>
          </w:p>
        </w:tc>
        <w:tc>
          <w:tcPr>
            <w:tcW w:w="1082" w:type="pct"/>
            <w:tcBorders>
              <w:top w:val="nil"/>
              <w:left w:val="nil"/>
              <w:bottom w:val="nil"/>
              <w:right w:val="nil"/>
            </w:tcBorders>
            <w:vAlign w:val="center"/>
          </w:tcPr>
          <w:p w14:paraId="65312302">
            <w:pPr>
              <w:widowControl w:val="0"/>
              <w:spacing w:line="240" w:lineRule="auto"/>
              <w:ind w:firstLine="0" w:firstLineChars="0"/>
              <w:jc w:val="left"/>
              <w:rPr>
                <w:sz w:val="16"/>
                <w:szCs w:val="16"/>
              </w:rPr>
            </w:pPr>
            <w:r>
              <w:rPr>
                <w:sz w:val="16"/>
                <w:szCs w:val="16"/>
              </w:rPr>
              <w:t>追求卓越品质</w:t>
            </w:r>
          </w:p>
        </w:tc>
        <w:tc>
          <w:tcPr>
            <w:tcW w:w="2357" w:type="pct"/>
            <w:tcBorders>
              <w:top w:val="nil"/>
              <w:left w:val="nil"/>
              <w:bottom w:val="nil"/>
            </w:tcBorders>
            <w:vAlign w:val="center"/>
          </w:tcPr>
          <w:p w14:paraId="2918F94A">
            <w:pPr>
              <w:widowControl w:val="0"/>
              <w:spacing w:line="240" w:lineRule="auto"/>
              <w:ind w:firstLine="0" w:firstLineChars="0"/>
              <w:jc w:val="left"/>
              <w:rPr>
                <w:sz w:val="16"/>
                <w:szCs w:val="16"/>
              </w:rPr>
            </w:pPr>
            <w:r>
              <w:rPr>
                <w:sz w:val="16"/>
                <w:szCs w:val="16"/>
              </w:rPr>
              <w:t>GRI 3 实质性议题/416 客户健康与安全/417 营销与标识</w:t>
            </w:r>
          </w:p>
        </w:tc>
      </w:tr>
      <w:tr w14:paraId="4C26085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80" w:type="pct"/>
            <w:vMerge w:val="continue"/>
            <w:tcBorders>
              <w:top w:val="nil"/>
              <w:right w:val="nil"/>
            </w:tcBorders>
            <w:vAlign w:val="center"/>
          </w:tcPr>
          <w:p w14:paraId="7BE29C43">
            <w:pPr>
              <w:widowControl w:val="0"/>
              <w:spacing w:line="240" w:lineRule="auto"/>
              <w:ind w:firstLine="320"/>
              <w:jc w:val="center"/>
              <w:rPr>
                <w:sz w:val="16"/>
                <w:szCs w:val="16"/>
              </w:rPr>
            </w:pPr>
          </w:p>
        </w:tc>
        <w:tc>
          <w:tcPr>
            <w:tcW w:w="1081" w:type="pct"/>
            <w:vMerge w:val="continue"/>
            <w:tcBorders>
              <w:top w:val="nil"/>
              <w:left w:val="nil"/>
              <w:right w:val="nil"/>
            </w:tcBorders>
            <w:vAlign w:val="center"/>
          </w:tcPr>
          <w:p w14:paraId="3F91C275">
            <w:pPr>
              <w:widowControl w:val="0"/>
              <w:spacing w:line="240" w:lineRule="auto"/>
              <w:ind w:firstLine="320"/>
              <w:jc w:val="center"/>
              <w:rPr>
                <w:sz w:val="16"/>
                <w:szCs w:val="16"/>
              </w:rPr>
            </w:pPr>
          </w:p>
        </w:tc>
        <w:tc>
          <w:tcPr>
            <w:tcW w:w="1082" w:type="pct"/>
            <w:tcBorders>
              <w:top w:val="nil"/>
              <w:left w:val="nil"/>
              <w:right w:val="nil"/>
            </w:tcBorders>
            <w:vAlign w:val="center"/>
          </w:tcPr>
          <w:p w14:paraId="55DDCFC1">
            <w:pPr>
              <w:widowControl w:val="0"/>
              <w:spacing w:line="240" w:lineRule="auto"/>
              <w:ind w:firstLine="0" w:firstLineChars="0"/>
              <w:jc w:val="left"/>
              <w:rPr>
                <w:sz w:val="16"/>
                <w:szCs w:val="16"/>
              </w:rPr>
            </w:pPr>
            <w:r>
              <w:rPr>
                <w:sz w:val="16"/>
                <w:szCs w:val="16"/>
              </w:rPr>
              <w:t>保障信息安全</w:t>
            </w:r>
          </w:p>
        </w:tc>
        <w:tc>
          <w:tcPr>
            <w:tcW w:w="2357" w:type="pct"/>
            <w:tcBorders>
              <w:top w:val="nil"/>
              <w:left w:val="nil"/>
            </w:tcBorders>
            <w:vAlign w:val="center"/>
          </w:tcPr>
          <w:p w14:paraId="3978035E">
            <w:pPr>
              <w:widowControl w:val="0"/>
              <w:spacing w:line="240" w:lineRule="auto"/>
              <w:ind w:firstLine="0" w:firstLineChars="0"/>
              <w:jc w:val="left"/>
              <w:rPr>
                <w:sz w:val="16"/>
                <w:szCs w:val="16"/>
              </w:rPr>
            </w:pPr>
            <w:r>
              <w:rPr>
                <w:sz w:val="16"/>
                <w:szCs w:val="16"/>
              </w:rPr>
              <w:t>GRI 3 实质性议题/418 客户隐私</w:t>
            </w:r>
          </w:p>
        </w:tc>
      </w:tr>
    </w:tbl>
    <w:p w14:paraId="6A1AA740">
      <w:pPr>
        <w:jc w:val="center"/>
      </w:pPr>
    </w:p>
    <w:p w14:paraId="1B8F448E">
      <w:pPr>
        <w:jc w:val="center"/>
      </w:pPr>
    </w:p>
    <w:sectPr>
      <w:headerReference r:id="rId12" w:type="default"/>
      <w:footerReference r:id="rId13"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85E48">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A4075">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3343C">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FFC2B">
    <w:pPr>
      <w:pStyle w:val="16"/>
      <w:ind w:firstLine="360"/>
    </w:pPr>
    <w:r>
      <mc:AlternateContent>
        <mc:Choice Requires="wps">
          <w:drawing>
            <wp:anchor distT="0" distB="0" distL="114300" distR="114300" simplePos="0" relativeHeight="251660288" behindDoc="0" locked="0" layoutInCell="1" allowOverlap="1">
              <wp:simplePos x="0" y="0"/>
              <wp:positionH relativeFrom="margin">
                <wp:posOffset>2599690</wp:posOffset>
              </wp:positionH>
              <wp:positionV relativeFrom="paragraph">
                <wp:posOffset>-35560</wp:posOffset>
              </wp:positionV>
              <wp:extent cx="371475" cy="161925"/>
              <wp:effectExtent l="0" t="0" r="9525" b="9525"/>
              <wp:wrapNone/>
              <wp:docPr id="19" name="文本框 19"/>
              <wp:cNvGraphicFramePr/>
              <a:graphic xmlns:a="http://schemas.openxmlformats.org/drawingml/2006/main">
                <a:graphicData uri="http://schemas.microsoft.com/office/word/2010/wordprocessingShape">
                  <wps:wsp>
                    <wps:cNvSpPr txBox="1"/>
                    <wps:spPr>
                      <a:xfrm>
                        <a:off x="0" y="0"/>
                        <a:ext cx="371475" cy="161925"/>
                      </a:xfrm>
                      <a:prstGeom prst="rect">
                        <a:avLst/>
                      </a:prstGeom>
                      <a:noFill/>
                      <a:ln w="6350">
                        <a:noFill/>
                      </a:ln>
                      <a:effectLst/>
                    </wps:spPr>
                    <wps:txbx>
                      <w:txbxContent>
                        <w:p w14:paraId="00B9A501">
                          <w:pPr>
                            <w:pStyle w:val="16"/>
                            <w:ind w:firstLine="36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4.7pt;margin-top:-2.8pt;height:12.75pt;width:29.25pt;mso-position-horizontal-relative:margin;z-index:251660288;mso-width-relative:page;mso-height-relative:page;" filled="f" stroked="f" coordsize="21600,21600" o:gfxdata="UEsDBAoAAAAAAIdO4kAAAAAAAAAAAAAAAAAEAAAAZHJzL1BLAwQUAAAACACHTuJA2wgRbdgAAAAJ&#10;AQAADwAAAGRycy9kb3ducmV2LnhtbE2Pu07EMBBFeyT+wRokul07KAQS4mzBowMWFpCgc2KTRNjj&#10;yHayy98zVFCO7tG9Z+rNwVm2mBBHjxKytQBmsPN6xF7C68vd6hJYTAq1sh6NhG8TYdMcH9Wq0n6P&#10;z2bZpZ5RCcZKSRhSmirOYzcYp+LaTwYp+/TBqURn6LkOak/lzvIzIQru1Ii0MKjJXA+m+9rNToJ9&#10;j+G+Feljuekf0tOWz2+32aOUpyeZuAKWzCH9wfCrT+rQkFPrZ9SRWQm5KHNCJazOC2AE5MVFCawl&#10;siyBNzX//0HzA1BLAwQUAAAACACHTuJAjdb80zkCAABlBAAADgAAAGRycy9lMm9Eb2MueG1srVTB&#10;jtMwEL0j8Q+W7zRtl3bZqumqbFWEtGJXKoiz69hNJNtjbLdJ+QD4gz1x4c539TsYO0kXLRz2wMUZ&#10;z4zf+L0ZZ37daEUOwvkKTE5HgyElwnAoKrPL6aeP61dvKPGBmYIpMCKnR+Hp9eLli3ltZ2IMJahC&#10;OIIgxs9qm9MyBDvLMs9LoZkfgBUGgxKcZgG3bpcVjtWIrlU2Hg6nWQ2usA648B69qzZIO0T3HECQ&#10;suJiBXyvhQktqhOKBaTky8p6uki3lVLwcCelF4GonCLTkFYsgvY2rtlizmY7x2xZ8e4K7DlXeMJJ&#10;s8pg0TPUigVG9q76C0pX3IEHGQYcdNYSSYogi9HwiTabklmRuKDU3p5F9/8Pln843DtSFTgJV5QY&#10;prHjp4fvpx+/Tj+/EfShQLX1M8zbWMwMzVtoMLn3e3RG3o10On6REcE4yns8yyuaQDg6Ly5Hry8n&#10;lHAMjaajq/EkomSPh63z4Z0ATaKRU4fdS6Kyw60PbWqfEmsZWFdKpQ4qQ+qcTi8mw3TgHEFwZWKu&#10;SLPQwURC7cWjFZpt07HcQnFEkg7aOfGWryu8yi3z4Z45HAzkhU8n3OEiFWBJ6CxKSnBf/+WP+dgv&#10;jFJS46Dl1H/ZMycoUe8NdjJOZW+43tj2htnrG8DZHeGjtDyZeMAF1ZvSgf6ML2oZq2CIGY61chp6&#10;8ya0444vkovlMiXh7FkWbs3G8gjdirncB5BV0jnK0mqB/YkbnL7Uqe6lxPH+c5+yHv8O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CBFt2AAAAAkBAAAPAAAAAAAAAAEAIAAAACIAAABkcnMvZG93&#10;bnJldi54bWxQSwECFAAUAAAACACHTuJAjdb80zkCAABlBAAADgAAAAAAAAABACAAAAAnAQAAZHJz&#10;L2Uyb0RvYy54bWxQSwUGAAAAAAYABgBZAQAA0gUAAAAA&#10;">
              <v:fill on="f" focussize="0,0"/>
              <v:stroke on="f" weight="0.5pt"/>
              <v:imagedata o:title=""/>
              <o:lock v:ext="edit" aspectratio="f"/>
              <v:textbox inset="0mm,0mm,0mm,0mm">
                <w:txbxContent>
                  <w:p w14:paraId="00B9A501">
                    <w:pPr>
                      <w:pStyle w:val="16"/>
                      <w:ind w:firstLine="36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63D09">
    <w:pPr>
      <w:pStyle w:val="16"/>
      <w:ind w:firstLine="360"/>
    </w:pPr>
    <w:r>
      <mc:AlternateContent>
        <mc:Choice Requires="wps">
          <w:drawing>
            <wp:anchor distT="0" distB="0" distL="114300" distR="114300" simplePos="0" relativeHeight="251659264" behindDoc="0" locked="0" layoutInCell="1" allowOverlap="1">
              <wp:simplePos x="0" y="0"/>
              <wp:positionH relativeFrom="margin">
                <wp:posOffset>2495550</wp:posOffset>
              </wp:positionH>
              <wp:positionV relativeFrom="paragraph">
                <wp:posOffset>2540</wp:posOffset>
              </wp:positionV>
              <wp:extent cx="447675" cy="219075"/>
              <wp:effectExtent l="0" t="0" r="9525" b="9525"/>
              <wp:wrapNone/>
              <wp:docPr id="10" name="文本框 10"/>
              <wp:cNvGraphicFramePr/>
              <a:graphic xmlns:a="http://schemas.openxmlformats.org/drawingml/2006/main">
                <a:graphicData uri="http://schemas.microsoft.com/office/word/2010/wordprocessingShape">
                  <wps:wsp>
                    <wps:cNvSpPr txBox="1"/>
                    <wps:spPr>
                      <a:xfrm>
                        <a:off x="0" y="0"/>
                        <a:ext cx="447675" cy="219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2D684">
                          <w:pPr>
                            <w:pStyle w:val="16"/>
                            <w:ind w:firstLine="360"/>
                            <w:rPr>
                              <w:rFonts w:eastAsia="仿宋_GB2312"/>
                            </w:rP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6.5pt;margin-top:0.2pt;height:17.25pt;width:35.25pt;mso-position-horizontal-relative:margin;z-index:251659264;mso-width-relative:page;mso-height-relative:page;" filled="f" stroked="f" coordsize="21600,21600" o:gfxdata="UEsDBAoAAAAAAIdO4kAAAAAAAAAAAAAAAAAEAAAAZHJzL1BLAwQUAAAACACHTuJA8b9b79cAAAAH&#10;AQAADwAAAGRycy9kb3ducmV2LnhtbE2PzU7DMBCE70i8g7VI3KgdEqo2xOmBnxtQaEGCmxObJMJe&#10;R/YmLW+POcFxZ0Yz31abo7NsNiEOHiVkCwHMYOv1gJ2E1/39xQpYJIVaWY9GwreJsKlPTypVan/A&#10;FzPvqGOpBGOpJPREY8l5bHvjVFz40WDyPn1witIZOq6DOqRyZ/mlEEvu1IBpoVejuelN+7WbnAT7&#10;HsNDI+hjvu0e6XnLp7e77EnK87NMXAMjc6S/MPziJ3SoE1PjJ9SRWQn5Ok+/kIQCWLKLZX4FrEl6&#10;sQZeV/w/f/0DUEsDBBQAAAAIAIdO4kB1r0qYMQIAAFcEAAAOAAAAZHJzL2Uyb0RvYy54bWytVMGO&#10;0zAQvSPxD5bvNG3Z7ULVdFW2KkJasSsVxNl1nCaS7TG226R8APwBJy7c+a5+By9J00ULhz1wcScz&#10;4zd+b2Y6u66NZnvlQ0k25aPBkDNlJWWl3ab844fVi1echShsJjRZlfKDCvx6/vzZrHJTNaaCdKY8&#10;A4gN08qlvIjRTZMkyEIZEQbklEUwJ29ExKffJpkXFdCNTsbD4SSpyGfOk1QhwLvsgvyE6J8CSHle&#10;SrUkuTPKxg7VKy0iKIWidIHP29fmuZLxLs+DikynHExje6II7E1zJvOZmG69cEUpT08QT3nCI05G&#10;lBZFz1BLEQXb+fIvKFNKT4HyOJBkko5IqwhYjIaPtFkXwqmWC6QO7ix6+H+w8v3+3rMywyRAEisM&#10;On78/u3449fx51cGHwSqXJgib+2QGes3VCO59wc4G9517k3zC0YMcWAdzvKqOjIJ58XF1eTqkjOJ&#10;0Hj0eggb6MnDZedDfKvIsMZIuUf3WlHF/jbELrVPaWpZWpVatx3UllUpn7y8HLYXzhGAa4saDYXu&#10;qY0V60194rWh7ABanrrJCE6uShS/FSHeC49RABMsS7zDkWtCETpZnBXkv/zL3+SjQ4hyVmG0Uh4+&#10;74RXnOl3Fr0DZOwN3xub3rA7c0OY1hHW0MnWxAUfdW/mnswn7NCiqYKQsBK1Uh578yZ2A44dlGqx&#10;aJMwbU7EW7t2soHu5FvsIuVlq2wjS6fFSS3MW9ub0240A/3nd5v18H8w/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v1vv1wAAAAcBAAAPAAAAAAAAAAEAIAAAACIAAABkcnMvZG93bnJldi54bWxQ&#10;SwECFAAUAAAACACHTuJAda9KmDECAABXBAAADgAAAAAAAAABACAAAAAmAQAAZHJzL2Uyb0RvYy54&#10;bWxQSwUGAAAAAAYABgBZAQAAyQUAAAAA&#10;">
              <v:fill on="f" focussize="0,0"/>
              <v:stroke on="f" weight="0.5pt"/>
              <v:imagedata o:title=""/>
              <o:lock v:ext="edit" aspectratio="f"/>
              <v:textbox inset="0mm,0mm,0mm,0mm">
                <w:txbxContent>
                  <w:p w14:paraId="11B2D684">
                    <w:pPr>
                      <w:pStyle w:val="16"/>
                      <w:ind w:firstLine="360"/>
                      <w:rPr>
                        <w:rFonts w:eastAsia="仿宋_GB2312"/>
                      </w:rPr>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E53DB">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85378">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B4559">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E096F">
    <w:pPr>
      <w:pStyle w:val="17"/>
    </w:pPr>
    <w:r>
      <w:rPr>
        <w:rFonts w:hint="eastAsia"/>
      </w:rPr>
      <w:t>ESG报告</w:t>
    </w:r>
    <w:r>
      <w:ptab w:relativeTo="margin" w:alignment="center" w:leader="none"/>
    </w:r>
    <w:r>
      <w:rPr>
        <w:rFonts w:hint="eastAsia"/>
      </w:rPr>
      <w:t xml:space="preserve"> </w:t>
    </w:r>
    <w:r>
      <w:ptab w:relativeTo="margin" w:alignment="right" w:leader="none"/>
    </w:r>
    <w:r>
      <w:rPr>
        <w:rFonts w:hint="eastAsia"/>
      </w:rPr>
      <w:t>河北宁强钢构集团有限公司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CBC24F"/>
    <w:multiLevelType w:val="singleLevel"/>
    <w:tmpl w:val="44CBC24F"/>
    <w:lvl w:ilvl="0" w:tentative="0">
      <w:start w:val="2"/>
      <w:numFmt w:val="chineseCounting"/>
      <w:suff w:val="nothing"/>
      <w:lvlText w:val="（%1）"/>
      <w:lvlJc w:val="left"/>
      <w:rPr>
        <w:rFonts w:hint="eastAsia"/>
      </w:rPr>
    </w:lvl>
  </w:abstractNum>
  <w:abstractNum w:abstractNumId="1">
    <w:nsid w:val="77EC6872"/>
    <w:multiLevelType w:val="multilevel"/>
    <w:tmpl w:val="77EC6872"/>
    <w:lvl w:ilvl="0" w:tentative="0">
      <w:start w:val="1"/>
      <w:numFmt w:val="japaneseCounting"/>
      <w:lvlText w:val="（%1）"/>
      <w:lvlJc w:val="left"/>
      <w:pPr>
        <w:ind w:left="1432" w:hanging="870"/>
      </w:pPr>
      <w:rPr>
        <w:rFonts w:hint="default"/>
      </w:rPr>
    </w:lvl>
    <w:lvl w:ilvl="1" w:tentative="0">
      <w:start w:val="1"/>
      <w:numFmt w:val="lowerLetter"/>
      <w:lvlText w:val="%2)"/>
      <w:lvlJc w:val="left"/>
      <w:pPr>
        <w:ind w:left="1442" w:hanging="440"/>
      </w:pPr>
    </w:lvl>
    <w:lvl w:ilvl="2" w:tentative="0">
      <w:start w:val="1"/>
      <w:numFmt w:val="lowerRoman"/>
      <w:lvlText w:val="%3."/>
      <w:lvlJc w:val="right"/>
      <w:pPr>
        <w:ind w:left="1882" w:hanging="440"/>
      </w:pPr>
    </w:lvl>
    <w:lvl w:ilvl="3" w:tentative="0">
      <w:start w:val="1"/>
      <w:numFmt w:val="decimal"/>
      <w:lvlText w:val="%4."/>
      <w:lvlJc w:val="left"/>
      <w:pPr>
        <w:ind w:left="2322" w:hanging="440"/>
      </w:pPr>
    </w:lvl>
    <w:lvl w:ilvl="4" w:tentative="0">
      <w:start w:val="1"/>
      <w:numFmt w:val="lowerLetter"/>
      <w:lvlText w:val="%5)"/>
      <w:lvlJc w:val="left"/>
      <w:pPr>
        <w:ind w:left="2762" w:hanging="440"/>
      </w:pPr>
    </w:lvl>
    <w:lvl w:ilvl="5" w:tentative="0">
      <w:start w:val="1"/>
      <w:numFmt w:val="lowerRoman"/>
      <w:lvlText w:val="%6."/>
      <w:lvlJc w:val="right"/>
      <w:pPr>
        <w:ind w:left="3202" w:hanging="440"/>
      </w:pPr>
    </w:lvl>
    <w:lvl w:ilvl="6" w:tentative="0">
      <w:start w:val="1"/>
      <w:numFmt w:val="decimal"/>
      <w:lvlText w:val="%7."/>
      <w:lvlJc w:val="left"/>
      <w:pPr>
        <w:ind w:left="3642" w:hanging="440"/>
      </w:pPr>
    </w:lvl>
    <w:lvl w:ilvl="7" w:tentative="0">
      <w:start w:val="1"/>
      <w:numFmt w:val="lowerLetter"/>
      <w:lvlText w:val="%8)"/>
      <w:lvlJc w:val="left"/>
      <w:pPr>
        <w:ind w:left="4082" w:hanging="440"/>
      </w:pPr>
    </w:lvl>
    <w:lvl w:ilvl="8" w:tentative="0">
      <w:start w:val="1"/>
      <w:numFmt w:val="lowerRoman"/>
      <w:lvlText w:val="%9."/>
      <w:lvlJc w:val="right"/>
      <w:pPr>
        <w:ind w:left="4522"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mNTAxYTA0NTllZTU0OWY5NWY0MWNlMzBjNGU2OTYifQ=="/>
  </w:docVars>
  <w:rsids>
    <w:rsidRoot w:val="00FD7F88"/>
    <w:rsid w:val="00003C91"/>
    <w:rsid w:val="00006596"/>
    <w:rsid w:val="00007F29"/>
    <w:rsid w:val="000157E6"/>
    <w:rsid w:val="000200F8"/>
    <w:rsid w:val="00020EC1"/>
    <w:rsid w:val="00021A25"/>
    <w:rsid w:val="00022CF1"/>
    <w:rsid w:val="0002323E"/>
    <w:rsid w:val="00030AB8"/>
    <w:rsid w:val="00031413"/>
    <w:rsid w:val="00040542"/>
    <w:rsid w:val="000570C3"/>
    <w:rsid w:val="0006519C"/>
    <w:rsid w:val="0006673E"/>
    <w:rsid w:val="00067CB0"/>
    <w:rsid w:val="00075653"/>
    <w:rsid w:val="000858A8"/>
    <w:rsid w:val="00086359"/>
    <w:rsid w:val="000877BE"/>
    <w:rsid w:val="00093FC8"/>
    <w:rsid w:val="000A5DB6"/>
    <w:rsid w:val="000A704A"/>
    <w:rsid w:val="000B3812"/>
    <w:rsid w:val="000B4CB5"/>
    <w:rsid w:val="000B6349"/>
    <w:rsid w:val="000B6970"/>
    <w:rsid w:val="000C04E1"/>
    <w:rsid w:val="000C43F0"/>
    <w:rsid w:val="000E4353"/>
    <w:rsid w:val="000F02E2"/>
    <w:rsid w:val="000F135B"/>
    <w:rsid w:val="000F4FA8"/>
    <w:rsid w:val="000F7B33"/>
    <w:rsid w:val="0010169E"/>
    <w:rsid w:val="00104913"/>
    <w:rsid w:val="001103EC"/>
    <w:rsid w:val="00114124"/>
    <w:rsid w:val="001158B6"/>
    <w:rsid w:val="00122130"/>
    <w:rsid w:val="001275E4"/>
    <w:rsid w:val="001349EE"/>
    <w:rsid w:val="001355C8"/>
    <w:rsid w:val="00142893"/>
    <w:rsid w:val="001514A8"/>
    <w:rsid w:val="00152698"/>
    <w:rsid w:val="00155B66"/>
    <w:rsid w:val="001577C3"/>
    <w:rsid w:val="00171769"/>
    <w:rsid w:val="00182083"/>
    <w:rsid w:val="00183DDA"/>
    <w:rsid w:val="00195E20"/>
    <w:rsid w:val="00196D24"/>
    <w:rsid w:val="001A1E57"/>
    <w:rsid w:val="001A74EC"/>
    <w:rsid w:val="001B1CC5"/>
    <w:rsid w:val="001C7468"/>
    <w:rsid w:val="001D3574"/>
    <w:rsid w:val="001D388C"/>
    <w:rsid w:val="001D6CA6"/>
    <w:rsid w:val="001E54F8"/>
    <w:rsid w:val="001F1ABF"/>
    <w:rsid w:val="001F3CCE"/>
    <w:rsid w:val="002027A5"/>
    <w:rsid w:val="00212C27"/>
    <w:rsid w:val="00213F43"/>
    <w:rsid w:val="0021435E"/>
    <w:rsid w:val="00217AC1"/>
    <w:rsid w:val="00221EDB"/>
    <w:rsid w:val="002238A3"/>
    <w:rsid w:val="00225B60"/>
    <w:rsid w:val="00234C9E"/>
    <w:rsid w:val="0023600E"/>
    <w:rsid w:val="00260A59"/>
    <w:rsid w:val="00266C38"/>
    <w:rsid w:val="0028130C"/>
    <w:rsid w:val="002858C9"/>
    <w:rsid w:val="00290C95"/>
    <w:rsid w:val="00293953"/>
    <w:rsid w:val="00293B48"/>
    <w:rsid w:val="002B0248"/>
    <w:rsid w:val="002B1D6E"/>
    <w:rsid w:val="002B2094"/>
    <w:rsid w:val="002B55A0"/>
    <w:rsid w:val="002C0B0E"/>
    <w:rsid w:val="002C46B7"/>
    <w:rsid w:val="002C62A3"/>
    <w:rsid w:val="002E09E0"/>
    <w:rsid w:val="002F573E"/>
    <w:rsid w:val="003008F9"/>
    <w:rsid w:val="00301879"/>
    <w:rsid w:val="0031154C"/>
    <w:rsid w:val="00330DA5"/>
    <w:rsid w:val="0033351D"/>
    <w:rsid w:val="00335011"/>
    <w:rsid w:val="00337F56"/>
    <w:rsid w:val="003405EC"/>
    <w:rsid w:val="003523E9"/>
    <w:rsid w:val="003712B8"/>
    <w:rsid w:val="00377F27"/>
    <w:rsid w:val="003B7396"/>
    <w:rsid w:val="003C2173"/>
    <w:rsid w:val="003C59A5"/>
    <w:rsid w:val="003C5EAE"/>
    <w:rsid w:val="003D2F2A"/>
    <w:rsid w:val="003D692F"/>
    <w:rsid w:val="0040283E"/>
    <w:rsid w:val="00414F6E"/>
    <w:rsid w:val="004150D3"/>
    <w:rsid w:val="00425EAE"/>
    <w:rsid w:val="004303A8"/>
    <w:rsid w:val="0043220C"/>
    <w:rsid w:val="00432608"/>
    <w:rsid w:val="004338D4"/>
    <w:rsid w:val="00440B22"/>
    <w:rsid w:val="00443D07"/>
    <w:rsid w:val="004524C7"/>
    <w:rsid w:val="00462A02"/>
    <w:rsid w:val="00470AC1"/>
    <w:rsid w:val="00480C76"/>
    <w:rsid w:val="00481FB5"/>
    <w:rsid w:val="00482259"/>
    <w:rsid w:val="004823E4"/>
    <w:rsid w:val="004844C3"/>
    <w:rsid w:val="00484E2D"/>
    <w:rsid w:val="00485D99"/>
    <w:rsid w:val="00490D18"/>
    <w:rsid w:val="00492016"/>
    <w:rsid w:val="004A42FE"/>
    <w:rsid w:val="004A4E91"/>
    <w:rsid w:val="004B2C46"/>
    <w:rsid w:val="004B51A0"/>
    <w:rsid w:val="004B6442"/>
    <w:rsid w:val="004B78DD"/>
    <w:rsid w:val="004D3E18"/>
    <w:rsid w:val="004D476F"/>
    <w:rsid w:val="004D4B5D"/>
    <w:rsid w:val="004D5795"/>
    <w:rsid w:val="004D6CFD"/>
    <w:rsid w:val="004E192B"/>
    <w:rsid w:val="004E2026"/>
    <w:rsid w:val="004E5CE9"/>
    <w:rsid w:val="004F00C1"/>
    <w:rsid w:val="004F223E"/>
    <w:rsid w:val="004F29D9"/>
    <w:rsid w:val="0050345D"/>
    <w:rsid w:val="00503D20"/>
    <w:rsid w:val="0050649A"/>
    <w:rsid w:val="0051287C"/>
    <w:rsid w:val="0051623E"/>
    <w:rsid w:val="00516784"/>
    <w:rsid w:val="00521E05"/>
    <w:rsid w:val="00523569"/>
    <w:rsid w:val="00524E2F"/>
    <w:rsid w:val="0052622B"/>
    <w:rsid w:val="005556DF"/>
    <w:rsid w:val="005568EB"/>
    <w:rsid w:val="00561C97"/>
    <w:rsid w:val="00563895"/>
    <w:rsid w:val="00564BB8"/>
    <w:rsid w:val="00571860"/>
    <w:rsid w:val="00572FB7"/>
    <w:rsid w:val="005966F1"/>
    <w:rsid w:val="005B56E6"/>
    <w:rsid w:val="005B7D98"/>
    <w:rsid w:val="005D14DD"/>
    <w:rsid w:val="005D7B66"/>
    <w:rsid w:val="005D7F50"/>
    <w:rsid w:val="005E5346"/>
    <w:rsid w:val="005F16A4"/>
    <w:rsid w:val="005F1FC8"/>
    <w:rsid w:val="005F3D3C"/>
    <w:rsid w:val="005F4B81"/>
    <w:rsid w:val="005F5B33"/>
    <w:rsid w:val="00601615"/>
    <w:rsid w:val="006127A6"/>
    <w:rsid w:val="00612955"/>
    <w:rsid w:val="00614370"/>
    <w:rsid w:val="00620619"/>
    <w:rsid w:val="00627BE3"/>
    <w:rsid w:val="006364DE"/>
    <w:rsid w:val="0064708D"/>
    <w:rsid w:val="00650AD8"/>
    <w:rsid w:val="00651FE9"/>
    <w:rsid w:val="00653FB5"/>
    <w:rsid w:val="00656993"/>
    <w:rsid w:val="006826C5"/>
    <w:rsid w:val="00690EDB"/>
    <w:rsid w:val="00691E74"/>
    <w:rsid w:val="00697FA2"/>
    <w:rsid w:val="006B3AF2"/>
    <w:rsid w:val="006B5055"/>
    <w:rsid w:val="006C3628"/>
    <w:rsid w:val="006D3921"/>
    <w:rsid w:val="006D5EBE"/>
    <w:rsid w:val="006D6B98"/>
    <w:rsid w:val="006D6D60"/>
    <w:rsid w:val="006F187A"/>
    <w:rsid w:val="00705371"/>
    <w:rsid w:val="00706701"/>
    <w:rsid w:val="00710A8A"/>
    <w:rsid w:val="00711E9F"/>
    <w:rsid w:val="00716D4E"/>
    <w:rsid w:val="00723994"/>
    <w:rsid w:val="0073234D"/>
    <w:rsid w:val="00737516"/>
    <w:rsid w:val="007424C3"/>
    <w:rsid w:val="00744379"/>
    <w:rsid w:val="007632F5"/>
    <w:rsid w:val="00763A69"/>
    <w:rsid w:val="007742BF"/>
    <w:rsid w:val="00782853"/>
    <w:rsid w:val="0079349D"/>
    <w:rsid w:val="00793E40"/>
    <w:rsid w:val="00794831"/>
    <w:rsid w:val="007A119B"/>
    <w:rsid w:val="007A2097"/>
    <w:rsid w:val="007A24B0"/>
    <w:rsid w:val="007A3341"/>
    <w:rsid w:val="007A3B28"/>
    <w:rsid w:val="007B530B"/>
    <w:rsid w:val="007B6865"/>
    <w:rsid w:val="007B715A"/>
    <w:rsid w:val="007C659F"/>
    <w:rsid w:val="007C7A27"/>
    <w:rsid w:val="007F035A"/>
    <w:rsid w:val="007F219A"/>
    <w:rsid w:val="00806868"/>
    <w:rsid w:val="00807773"/>
    <w:rsid w:val="0081119E"/>
    <w:rsid w:val="00823316"/>
    <w:rsid w:val="00826727"/>
    <w:rsid w:val="00833D47"/>
    <w:rsid w:val="0083405D"/>
    <w:rsid w:val="0084033D"/>
    <w:rsid w:val="0084040A"/>
    <w:rsid w:val="00844EBE"/>
    <w:rsid w:val="008478F4"/>
    <w:rsid w:val="00851B77"/>
    <w:rsid w:val="008538C7"/>
    <w:rsid w:val="00857A82"/>
    <w:rsid w:val="00860EB1"/>
    <w:rsid w:val="00867B0F"/>
    <w:rsid w:val="00872504"/>
    <w:rsid w:val="008A1D02"/>
    <w:rsid w:val="008A4B93"/>
    <w:rsid w:val="008A5C0B"/>
    <w:rsid w:val="008A5ED1"/>
    <w:rsid w:val="008A7884"/>
    <w:rsid w:val="008B3CD8"/>
    <w:rsid w:val="008B590F"/>
    <w:rsid w:val="008C49AC"/>
    <w:rsid w:val="008C4D4B"/>
    <w:rsid w:val="008C6408"/>
    <w:rsid w:val="008D2979"/>
    <w:rsid w:val="008D7C7C"/>
    <w:rsid w:val="008E359D"/>
    <w:rsid w:val="009133A4"/>
    <w:rsid w:val="00916116"/>
    <w:rsid w:val="00921A55"/>
    <w:rsid w:val="00923A6B"/>
    <w:rsid w:val="00927044"/>
    <w:rsid w:val="009279DE"/>
    <w:rsid w:val="00935F2E"/>
    <w:rsid w:val="009375CB"/>
    <w:rsid w:val="00937BB7"/>
    <w:rsid w:val="0094350C"/>
    <w:rsid w:val="00947622"/>
    <w:rsid w:val="00962007"/>
    <w:rsid w:val="009634F8"/>
    <w:rsid w:val="0097085C"/>
    <w:rsid w:val="00971625"/>
    <w:rsid w:val="00981CB5"/>
    <w:rsid w:val="009834EA"/>
    <w:rsid w:val="00983583"/>
    <w:rsid w:val="00984C45"/>
    <w:rsid w:val="00986F74"/>
    <w:rsid w:val="009C09F1"/>
    <w:rsid w:val="009D3367"/>
    <w:rsid w:val="009E180D"/>
    <w:rsid w:val="009E267E"/>
    <w:rsid w:val="009E6F9B"/>
    <w:rsid w:val="009E74E4"/>
    <w:rsid w:val="009F6714"/>
    <w:rsid w:val="00A01358"/>
    <w:rsid w:val="00A013B0"/>
    <w:rsid w:val="00A116E1"/>
    <w:rsid w:val="00A12094"/>
    <w:rsid w:val="00A15DAF"/>
    <w:rsid w:val="00A20B47"/>
    <w:rsid w:val="00A23FCE"/>
    <w:rsid w:val="00A31865"/>
    <w:rsid w:val="00A323C2"/>
    <w:rsid w:val="00A36910"/>
    <w:rsid w:val="00A42948"/>
    <w:rsid w:val="00A50618"/>
    <w:rsid w:val="00A5065F"/>
    <w:rsid w:val="00A5450D"/>
    <w:rsid w:val="00A601B6"/>
    <w:rsid w:val="00A61A2C"/>
    <w:rsid w:val="00A62339"/>
    <w:rsid w:val="00A6398C"/>
    <w:rsid w:val="00A71D79"/>
    <w:rsid w:val="00A770C9"/>
    <w:rsid w:val="00A83D9B"/>
    <w:rsid w:val="00A963B1"/>
    <w:rsid w:val="00AB0CD6"/>
    <w:rsid w:val="00AB24E8"/>
    <w:rsid w:val="00AB6FC4"/>
    <w:rsid w:val="00AC3718"/>
    <w:rsid w:val="00AD4F80"/>
    <w:rsid w:val="00AD6501"/>
    <w:rsid w:val="00AD7A0B"/>
    <w:rsid w:val="00AE6D0F"/>
    <w:rsid w:val="00AF1E61"/>
    <w:rsid w:val="00AF5709"/>
    <w:rsid w:val="00B0439E"/>
    <w:rsid w:val="00B30F88"/>
    <w:rsid w:val="00B428F0"/>
    <w:rsid w:val="00B43ECA"/>
    <w:rsid w:val="00B44FB0"/>
    <w:rsid w:val="00B45959"/>
    <w:rsid w:val="00B575F3"/>
    <w:rsid w:val="00B604A9"/>
    <w:rsid w:val="00B71608"/>
    <w:rsid w:val="00B74DDB"/>
    <w:rsid w:val="00B75B7E"/>
    <w:rsid w:val="00B805AC"/>
    <w:rsid w:val="00B82D55"/>
    <w:rsid w:val="00B920CA"/>
    <w:rsid w:val="00B959A9"/>
    <w:rsid w:val="00B95C8B"/>
    <w:rsid w:val="00B97D3E"/>
    <w:rsid w:val="00BA039D"/>
    <w:rsid w:val="00BB340C"/>
    <w:rsid w:val="00BC0809"/>
    <w:rsid w:val="00BC354F"/>
    <w:rsid w:val="00BC65CC"/>
    <w:rsid w:val="00BD0DE9"/>
    <w:rsid w:val="00C038AE"/>
    <w:rsid w:val="00C076E8"/>
    <w:rsid w:val="00C11BF6"/>
    <w:rsid w:val="00C23554"/>
    <w:rsid w:val="00C33DA3"/>
    <w:rsid w:val="00C366BD"/>
    <w:rsid w:val="00C374BF"/>
    <w:rsid w:val="00C53F76"/>
    <w:rsid w:val="00C6208E"/>
    <w:rsid w:val="00C632B8"/>
    <w:rsid w:val="00C67986"/>
    <w:rsid w:val="00C8256A"/>
    <w:rsid w:val="00C957F8"/>
    <w:rsid w:val="00C96C1A"/>
    <w:rsid w:val="00C97D36"/>
    <w:rsid w:val="00CA3439"/>
    <w:rsid w:val="00CA59D4"/>
    <w:rsid w:val="00CB005A"/>
    <w:rsid w:val="00CB016B"/>
    <w:rsid w:val="00CB3229"/>
    <w:rsid w:val="00CB5A8C"/>
    <w:rsid w:val="00CE081A"/>
    <w:rsid w:val="00CE6C64"/>
    <w:rsid w:val="00CE75AE"/>
    <w:rsid w:val="00CF2B83"/>
    <w:rsid w:val="00CF3907"/>
    <w:rsid w:val="00CF6663"/>
    <w:rsid w:val="00D22530"/>
    <w:rsid w:val="00D32229"/>
    <w:rsid w:val="00D33E7F"/>
    <w:rsid w:val="00D41E27"/>
    <w:rsid w:val="00D54404"/>
    <w:rsid w:val="00D56DD6"/>
    <w:rsid w:val="00D577A5"/>
    <w:rsid w:val="00D579D0"/>
    <w:rsid w:val="00D606C1"/>
    <w:rsid w:val="00D63187"/>
    <w:rsid w:val="00D64A16"/>
    <w:rsid w:val="00D65452"/>
    <w:rsid w:val="00D65510"/>
    <w:rsid w:val="00D66D89"/>
    <w:rsid w:val="00D67E1E"/>
    <w:rsid w:val="00D76F76"/>
    <w:rsid w:val="00D8151A"/>
    <w:rsid w:val="00D85902"/>
    <w:rsid w:val="00D934FC"/>
    <w:rsid w:val="00DA5FF2"/>
    <w:rsid w:val="00DB6098"/>
    <w:rsid w:val="00DB77B2"/>
    <w:rsid w:val="00DC3853"/>
    <w:rsid w:val="00DC4D5D"/>
    <w:rsid w:val="00DD5B66"/>
    <w:rsid w:val="00DD688D"/>
    <w:rsid w:val="00DD7C5E"/>
    <w:rsid w:val="00DE2E8B"/>
    <w:rsid w:val="00DE60AE"/>
    <w:rsid w:val="00DE657A"/>
    <w:rsid w:val="00DF24CF"/>
    <w:rsid w:val="00DF5C7E"/>
    <w:rsid w:val="00E018C1"/>
    <w:rsid w:val="00E06A37"/>
    <w:rsid w:val="00E13AE6"/>
    <w:rsid w:val="00E21ABF"/>
    <w:rsid w:val="00E314AA"/>
    <w:rsid w:val="00E31BE5"/>
    <w:rsid w:val="00E35153"/>
    <w:rsid w:val="00E4190E"/>
    <w:rsid w:val="00E4356A"/>
    <w:rsid w:val="00E43A18"/>
    <w:rsid w:val="00E52B43"/>
    <w:rsid w:val="00E54971"/>
    <w:rsid w:val="00E6415E"/>
    <w:rsid w:val="00E655EA"/>
    <w:rsid w:val="00E728E5"/>
    <w:rsid w:val="00E85493"/>
    <w:rsid w:val="00E909F2"/>
    <w:rsid w:val="00E92BC8"/>
    <w:rsid w:val="00EA19D9"/>
    <w:rsid w:val="00EB113C"/>
    <w:rsid w:val="00EB37F4"/>
    <w:rsid w:val="00EC1CB7"/>
    <w:rsid w:val="00EC3731"/>
    <w:rsid w:val="00ED77AE"/>
    <w:rsid w:val="00EE0225"/>
    <w:rsid w:val="00EE15B5"/>
    <w:rsid w:val="00EE22D6"/>
    <w:rsid w:val="00EE22DA"/>
    <w:rsid w:val="00EE50DA"/>
    <w:rsid w:val="00EF0ACE"/>
    <w:rsid w:val="00EF0F1F"/>
    <w:rsid w:val="00EF5084"/>
    <w:rsid w:val="00F03798"/>
    <w:rsid w:val="00F0632A"/>
    <w:rsid w:val="00F14783"/>
    <w:rsid w:val="00F17048"/>
    <w:rsid w:val="00F2684B"/>
    <w:rsid w:val="00F45521"/>
    <w:rsid w:val="00F52EE5"/>
    <w:rsid w:val="00F56EAF"/>
    <w:rsid w:val="00F655BD"/>
    <w:rsid w:val="00F7070B"/>
    <w:rsid w:val="00F74351"/>
    <w:rsid w:val="00F83EC2"/>
    <w:rsid w:val="00F87761"/>
    <w:rsid w:val="00F947F4"/>
    <w:rsid w:val="00F954D8"/>
    <w:rsid w:val="00FA11DB"/>
    <w:rsid w:val="00FA6E62"/>
    <w:rsid w:val="00FA7747"/>
    <w:rsid w:val="00FB0EE5"/>
    <w:rsid w:val="00FB1485"/>
    <w:rsid w:val="00FB2757"/>
    <w:rsid w:val="00FC45AA"/>
    <w:rsid w:val="00FC6727"/>
    <w:rsid w:val="00FD1F69"/>
    <w:rsid w:val="00FD4FF4"/>
    <w:rsid w:val="00FD7F88"/>
    <w:rsid w:val="00FE26C2"/>
    <w:rsid w:val="00FE6C05"/>
    <w:rsid w:val="00FF186B"/>
    <w:rsid w:val="00FF1E3D"/>
    <w:rsid w:val="00FF356B"/>
    <w:rsid w:val="00FF4475"/>
    <w:rsid w:val="00FF791C"/>
    <w:rsid w:val="0560430C"/>
    <w:rsid w:val="068154EF"/>
    <w:rsid w:val="07B62F76"/>
    <w:rsid w:val="08A31D94"/>
    <w:rsid w:val="1285434C"/>
    <w:rsid w:val="12FC2A78"/>
    <w:rsid w:val="14420D7A"/>
    <w:rsid w:val="14CA0321"/>
    <w:rsid w:val="19FA54E9"/>
    <w:rsid w:val="2325590B"/>
    <w:rsid w:val="2480523B"/>
    <w:rsid w:val="2661459D"/>
    <w:rsid w:val="27EB6814"/>
    <w:rsid w:val="292C1E06"/>
    <w:rsid w:val="296A3769"/>
    <w:rsid w:val="29D643EE"/>
    <w:rsid w:val="2CFA4E04"/>
    <w:rsid w:val="2D6904BC"/>
    <w:rsid w:val="2DEA131C"/>
    <w:rsid w:val="305D7528"/>
    <w:rsid w:val="35793EE8"/>
    <w:rsid w:val="35C13C18"/>
    <w:rsid w:val="36274EBB"/>
    <w:rsid w:val="38423170"/>
    <w:rsid w:val="38481119"/>
    <w:rsid w:val="3AEC2CB4"/>
    <w:rsid w:val="3E3B46CB"/>
    <w:rsid w:val="41714ABE"/>
    <w:rsid w:val="43217136"/>
    <w:rsid w:val="475F22C2"/>
    <w:rsid w:val="491A6824"/>
    <w:rsid w:val="49534483"/>
    <w:rsid w:val="495C4CFC"/>
    <w:rsid w:val="4E6864A1"/>
    <w:rsid w:val="500D3470"/>
    <w:rsid w:val="517674F2"/>
    <w:rsid w:val="540F06F6"/>
    <w:rsid w:val="5777034E"/>
    <w:rsid w:val="58401EA5"/>
    <w:rsid w:val="5999137D"/>
    <w:rsid w:val="673A3395"/>
    <w:rsid w:val="69F9500C"/>
    <w:rsid w:val="6C951535"/>
    <w:rsid w:val="6EBD7464"/>
    <w:rsid w:val="73045661"/>
    <w:rsid w:val="739A5FC5"/>
    <w:rsid w:val="76AD797E"/>
    <w:rsid w:val="77971EF2"/>
    <w:rsid w:val="79344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auto"/>
      <w:ind w:firstLine="560" w:firstLineChars="200"/>
      <w:jc w:val="both"/>
    </w:pPr>
    <w:rPr>
      <w:rFonts w:ascii="Times New Roman" w:hAnsi="Times New Roman" w:cs="Times New Roman" w:eastAsiaTheme="minorEastAsia"/>
      <w:kern w:val="2"/>
      <w:sz w:val="28"/>
      <w:szCs w:val="28"/>
      <w:lang w:val="en-US" w:eastAsia="zh-CN" w:bidi="ar-SA"/>
    </w:rPr>
  </w:style>
  <w:style w:type="paragraph" w:styleId="2">
    <w:name w:val="heading 1"/>
    <w:basedOn w:val="1"/>
    <w:next w:val="1"/>
    <w:autoRedefine/>
    <w:qFormat/>
    <w:uiPriority w:val="9"/>
    <w:pPr>
      <w:keepNext/>
      <w:keepLines/>
      <w:ind w:left="200" w:leftChars="200" w:firstLine="0" w:firstLineChars="0"/>
      <w:outlineLvl w:val="0"/>
    </w:pPr>
    <w:rPr>
      <w:rFonts w:eastAsia="楷体"/>
      <w:b/>
      <w:bCs/>
      <w:kern w:val="44"/>
      <w:sz w:val="32"/>
      <w:szCs w:val="32"/>
    </w:rPr>
  </w:style>
  <w:style w:type="paragraph" w:styleId="3">
    <w:name w:val="heading 2"/>
    <w:basedOn w:val="1"/>
    <w:next w:val="1"/>
    <w:link w:val="35"/>
    <w:autoRedefine/>
    <w:qFormat/>
    <w:uiPriority w:val="0"/>
    <w:pPr>
      <w:keepNext/>
      <w:keepLines/>
      <w:spacing w:before="156" w:beforeLines="50" w:after="156" w:afterLines="50"/>
      <w:ind w:firstLine="640"/>
      <w:jc w:val="left"/>
      <w:outlineLvl w:val="1"/>
    </w:pPr>
    <w:rPr>
      <w:rFonts w:ascii="Cambria" w:hAnsi="Cambria" w:eastAsia="楷体"/>
      <w:b/>
      <w:bCs/>
      <w:szCs w:val="32"/>
    </w:rPr>
  </w:style>
  <w:style w:type="paragraph" w:styleId="4">
    <w:name w:val="heading 3"/>
    <w:basedOn w:val="1"/>
    <w:next w:val="1"/>
    <w:link w:val="32"/>
    <w:unhideWhenUsed/>
    <w:qFormat/>
    <w:uiPriority w:val="0"/>
    <w:pPr>
      <w:keepNext/>
      <w:keepLines/>
      <w:spacing w:before="10" w:beforeLines="10" w:after="10" w:afterLines="10"/>
      <w:ind w:firstLine="200"/>
      <w:outlineLvl w:val="2"/>
    </w:pPr>
    <w:rPr>
      <w:b/>
      <w:bCs/>
      <w:szCs w:val="32"/>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5">
    <w:name w:val="Normal Indent"/>
    <w:basedOn w:val="1"/>
    <w:autoRedefine/>
    <w:qFormat/>
    <w:uiPriority w:val="0"/>
    <w:pPr>
      <w:ind w:firstLine="420"/>
    </w:pPr>
  </w:style>
  <w:style w:type="paragraph" w:styleId="6">
    <w:name w:val="caption"/>
    <w:basedOn w:val="1"/>
    <w:next w:val="1"/>
    <w:autoRedefine/>
    <w:semiHidden/>
    <w:unhideWhenUsed/>
    <w:qFormat/>
    <w:uiPriority w:val="0"/>
    <w:rPr>
      <w:rFonts w:ascii="Arial" w:hAnsi="Arial" w:eastAsia="黑体"/>
      <w:sz w:val="20"/>
    </w:rPr>
  </w:style>
  <w:style w:type="paragraph" w:styleId="7">
    <w:name w:val="toa heading"/>
    <w:basedOn w:val="1"/>
    <w:next w:val="1"/>
    <w:autoRedefine/>
    <w:qFormat/>
    <w:uiPriority w:val="0"/>
    <w:rPr>
      <w:rFonts w:ascii="Arial" w:hAnsi="Arial"/>
      <w:sz w:val="24"/>
    </w:rPr>
  </w:style>
  <w:style w:type="paragraph" w:styleId="8">
    <w:name w:val="annotation text"/>
    <w:basedOn w:val="1"/>
    <w:link w:val="30"/>
    <w:autoRedefine/>
    <w:qFormat/>
    <w:uiPriority w:val="0"/>
    <w:pPr>
      <w:jc w:val="left"/>
    </w:pPr>
  </w:style>
  <w:style w:type="paragraph" w:styleId="9">
    <w:name w:val="Body Text"/>
    <w:basedOn w:val="1"/>
    <w:next w:val="1"/>
    <w:autoRedefine/>
    <w:qFormat/>
    <w:uiPriority w:val="1"/>
    <w:rPr>
      <w:rFonts w:ascii="Arial Unicode MS" w:hAnsi="Arial Unicode MS" w:eastAsia="Arial Unicode MS" w:cs="Arial Unicode MS"/>
      <w:sz w:val="32"/>
      <w:szCs w:val="32"/>
      <w:lang w:val="zh-CN" w:bidi="zh-CN"/>
    </w:rPr>
  </w:style>
  <w:style w:type="paragraph" w:styleId="10">
    <w:name w:val="Body Text Indent"/>
    <w:basedOn w:val="1"/>
    <w:next w:val="11"/>
    <w:autoRedefine/>
    <w:qFormat/>
    <w:uiPriority w:val="0"/>
    <w:pPr>
      <w:spacing w:line="480" w:lineRule="exact"/>
      <w:ind w:firstLine="480"/>
    </w:pPr>
    <w:rPr>
      <w:rFonts w:ascii="宋体" w:hAnsi="宋体"/>
      <w:sz w:val="24"/>
      <w:szCs w:val="20"/>
    </w:rPr>
  </w:style>
  <w:style w:type="paragraph" w:styleId="11">
    <w:name w:val="Body Text First Indent 2"/>
    <w:basedOn w:val="10"/>
    <w:next w:val="12"/>
    <w:autoRedefine/>
    <w:qFormat/>
    <w:uiPriority w:val="0"/>
    <w:pPr>
      <w:ind w:firstLine="420"/>
    </w:pPr>
  </w:style>
  <w:style w:type="paragraph" w:styleId="12">
    <w:name w:val="Body Text First Indent"/>
    <w:basedOn w:val="9"/>
    <w:next w:val="1"/>
    <w:autoRedefine/>
    <w:qFormat/>
    <w:uiPriority w:val="0"/>
    <w:pPr>
      <w:ind w:firstLine="420"/>
    </w:pPr>
    <w:rPr>
      <w:rFonts w:eastAsia="楷体_GB2312"/>
    </w:rPr>
  </w:style>
  <w:style w:type="paragraph" w:styleId="13">
    <w:name w:val="toc 3"/>
    <w:basedOn w:val="1"/>
    <w:next w:val="1"/>
    <w:autoRedefine/>
    <w:uiPriority w:val="39"/>
    <w:pPr>
      <w:ind w:left="840" w:leftChars="400"/>
    </w:pPr>
  </w:style>
  <w:style w:type="paragraph" w:styleId="14">
    <w:name w:val="Plain Text"/>
    <w:basedOn w:val="1"/>
    <w:autoRedefine/>
    <w:qFormat/>
    <w:uiPriority w:val="0"/>
    <w:rPr>
      <w:rFonts w:ascii="宋体" w:hAnsi="Courier New"/>
    </w:rPr>
  </w:style>
  <w:style w:type="paragraph" w:styleId="15">
    <w:name w:val="endnote text"/>
    <w:basedOn w:val="1"/>
    <w:link w:val="31"/>
    <w:qFormat/>
    <w:uiPriority w:val="0"/>
    <w:pPr>
      <w:snapToGrid w:val="0"/>
      <w:ind w:firstLine="442"/>
      <w:jc w:val="center"/>
    </w:pPr>
    <w:rPr>
      <w:b/>
      <w:bCs/>
      <w:sz w:val="22"/>
      <w:szCs w:val="22"/>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ind w:firstLine="0" w:firstLineChars="0"/>
    </w:pPr>
    <w:rPr>
      <w:sz w:val="18"/>
      <w:u w:val="single"/>
    </w:rPr>
  </w:style>
  <w:style w:type="paragraph" w:styleId="18">
    <w:name w:val="toc 1"/>
    <w:basedOn w:val="19"/>
    <w:next w:val="19"/>
    <w:autoRedefine/>
    <w:qFormat/>
    <w:uiPriority w:val="39"/>
    <w:pPr>
      <w:spacing w:line="240" w:lineRule="auto"/>
      <w:ind w:firstLine="0" w:firstLineChars="0"/>
    </w:pPr>
  </w:style>
  <w:style w:type="paragraph" w:styleId="19">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paragraph" w:styleId="20">
    <w:name w:val="toc 2"/>
    <w:basedOn w:val="1"/>
    <w:next w:val="1"/>
    <w:autoRedefine/>
    <w:qFormat/>
    <w:uiPriority w:val="39"/>
    <w:pPr>
      <w:tabs>
        <w:tab w:val="right" w:leader="dot" w:pos="8296"/>
      </w:tabs>
    </w:pPr>
  </w:style>
  <w:style w:type="paragraph" w:styleId="21">
    <w:name w:val="Normal (Web)"/>
    <w:basedOn w:val="1"/>
    <w:autoRedefine/>
    <w:qFormat/>
    <w:uiPriority w:val="0"/>
    <w:pPr>
      <w:spacing w:beforeAutospacing="1" w:afterAutospacing="1"/>
      <w:jc w:val="left"/>
    </w:pPr>
    <w:rPr>
      <w:kern w:val="0"/>
      <w:sz w:val="24"/>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rPr>
  </w:style>
  <w:style w:type="character" w:styleId="26">
    <w:name w:val="Hyperlink"/>
    <w:autoRedefine/>
    <w:qFormat/>
    <w:uiPriority w:val="99"/>
    <w:rPr>
      <w:color w:val="020202"/>
      <w:u w:val="none"/>
    </w:rPr>
  </w:style>
  <w:style w:type="paragraph" w:customStyle="1" w:styleId="27">
    <w:name w:val="WPSOffice手动目录 1"/>
    <w:autoRedefine/>
    <w:qFormat/>
    <w:uiPriority w:val="0"/>
    <w:rPr>
      <w:rFonts w:ascii="Times New Roman" w:hAnsi="Times New Roman" w:eastAsia="宋体" w:cs="Times New Roman"/>
      <w:lang w:val="en-US" w:eastAsia="zh-CN" w:bidi="ar-SA"/>
    </w:rPr>
  </w:style>
  <w:style w:type="paragraph" w:customStyle="1" w:styleId="28">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styleId="29">
    <w:name w:val="List Paragraph"/>
    <w:basedOn w:val="1"/>
    <w:unhideWhenUsed/>
    <w:qFormat/>
    <w:uiPriority w:val="99"/>
    <w:pPr>
      <w:ind w:firstLine="420"/>
    </w:pPr>
  </w:style>
  <w:style w:type="character" w:customStyle="1" w:styleId="30">
    <w:name w:val="批注文字 字符"/>
    <w:basedOn w:val="24"/>
    <w:link w:val="8"/>
    <w:qFormat/>
    <w:uiPriority w:val="0"/>
    <w:rPr>
      <w:rFonts w:ascii="宋体" w:hAnsi="宋体"/>
      <w:kern w:val="2"/>
      <w:sz w:val="28"/>
      <w:szCs w:val="28"/>
    </w:rPr>
  </w:style>
  <w:style w:type="character" w:customStyle="1" w:styleId="31">
    <w:name w:val="尾注文本 字符"/>
    <w:basedOn w:val="24"/>
    <w:link w:val="15"/>
    <w:qFormat/>
    <w:uiPriority w:val="0"/>
    <w:rPr>
      <w:rFonts w:eastAsiaTheme="minorEastAsia"/>
      <w:b/>
      <w:bCs/>
      <w:kern w:val="2"/>
      <w:sz w:val="22"/>
      <w:szCs w:val="22"/>
    </w:rPr>
  </w:style>
  <w:style w:type="character" w:customStyle="1" w:styleId="32">
    <w:name w:val="标题 3 字符"/>
    <w:basedOn w:val="24"/>
    <w:link w:val="4"/>
    <w:qFormat/>
    <w:uiPriority w:val="0"/>
    <w:rPr>
      <w:rFonts w:eastAsiaTheme="minorEastAsia"/>
      <w:b/>
      <w:bCs/>
      <w:kern w:val="2"/>
      <w:sz w:val="28"/>
      <w:szCs w:val="32"/>
    </w:rPr>
  </w:style>
  <w:style w:type="paragraph" w:customStyle="1" w:styleId="33">
    <w:name w:val="TOC Heading"/>
    <w:basedOn w:val="2"/>
    <w:next w:val="1"/>
    <w:unhideWhenUsed/>
    <w:qFormat/>
    <w:uiPriority w:val="39"/>
    <w:pPr>
      <w:spacing w:before="240" w:line="259" w:lineRule="auto"/>
      <w:ind w:left="0" w:leftChars="0"/>
      <w:jc w:val="left"/>
      <w:outlineLvl w:val="9"/>
    </w:pPr>
    <w:rPr>
      <w:rFonts w:asciiTheme="majorHAnsi" w:hAnsiTheme="majorHAnsi" w:eastAsiaTheme="majorEastAsia" w:cstheme="majorBidi"/>
      <w:b w:val="0"/>
      <w:bCs w:val="0"/>
      <w:color w:val="2E54A1" w:themeColor="accent1" w:themeShade="BF"/>
      <w:kern w:val="0"/>
    </w:rPr>
  </w:style>
  <w:style w:type="character" w:customStyle="1" w:styleId="34">
    <w:name w:val="标题 字符"/>
    <w:basedOn w:val="24"/>
    <w:link w:val="19"/>
    <w:qFormat/>
    <w:uiPriority w:val="0"/>
    <w:rPr>
      <w:rFonts w:asciiTheme="majorHAnsi" w:hAnsiTheme="majorHAnsi" w:eastAsiaTheme="majorEastAsia" w:cstheme="majorBidi"/>
      <w:b/>
      <w:bCs/>
      <w:kern w:val="2"/>
      <w:sz w:val="32"/>
      <w:szCs w:val="32"/>
    </w:rPr>
  </w:style>
  <w:style w:type="character" w:customStyle="1" w:styleId="35">
    <w:name w:val="标题 2 字符"/>
    <w:basedOn w:val="24"/>
    <w:link w:val="3"/>
    <w:qFormat/>
    <w:uiPriority w:val="0"/>
    <w:rPr>
      <w:rFonts w:ascii="Cambria" w:hAnsi="Cambria" w:eastAsia="楷体"/>
      <w:b/>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Desktop\&#65288;ESG&#65289;&#25253;&#21578;-&#26631;&#20934;&#31034;&#20363;.dotx"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3A72EF-02FE-44CE-A73C-4FD4A8C06A98}">
  <ds:schemaRefs/>
</ds:datastoreItem>
</file>

<file path=docProps/app.xml><?xml version="1.0" encoding="utf-8"?>
<Properties xmlns="http://schemas.openxmlformats.org/officeDocument/2006/extended-properties" xmlns:vt="http://schemas.openxmlformats.org/officeDocument/2006/docPropsVTypes">
  <Template>（ESG）报告-标准示例</Template>
  <Pages>37</Pages>
  <Words>13452</Words>
  <Characters>13928</Characters>
  <Lines>122</Lines>
  <Paragraphs>34</Paragraphs>
  <TotalTime>3</TotalTime>
  <ScaleCrop>false</ScaleCrop>
  <LinksUpToDate>false</LinksUpToDate>
  <CharactersWithSpaces>14108</CharactersWithSpaces>
  <Application>WPS Office_12.1.0.25835_F1E327BC-269C-435d-A152-05C5408002CA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2024-07-16T00:52:00Z</dcterms:created>
  <dc:creator>Alyssa</dc:creator>
  <cp:lastModifiedBy>1.</cp:lastModifiedBy>
  <dcterms:modified xsi:type="dcterms:W3CDTF">2026-04-08T01:47:39Z</dcterms:modified>
  <cp:revision>345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2052-12.1.0.25835</vt:lpwstr>
  </property>
  <property fmtid="{D5CDD505-2E9C-101B-9397-08002B2CF9AE}" pid="3" name="ICV">
    <vt:lpwstr>EAD84C58023649639C45312AEEAAD0B6_13</vt:lpwstr>
  </property>
  <property fmtid="{D5CDD505-2E9C-101B-9397-08002B2CF9AE}" pid="4" name="KSOTemplateDocerSaveRecord">
    <vt:lpwstr>eyJoZGlkIjoiZmI2Mjg1OTdhYWQwYjBlYmUzYmRmZGMzMTZkOTAwNDYiLCJ1c2VySWQiOiIxNDExNjE1NjY1In0=</vt:lpwstr>
  </property>
</Properties>
</file>